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rPr>
          <w:rFonts w:eastAsia="楷体_GB2312"/>
          <w:kern w:val="0"/>
          <w:sz w:val="32"/>
        </w:rPr>
      </w:pPr>
      <w:r>
        <w:rPr>
          <w:rFonts w:hint="eastAsia" w:eastAsia="楷体_GB2312"/>
          <w:kern w:val="0"/>
          <w:sz w:val="32"/>
        </w:rPr>
        <w:t>区</w:t>
      </w:r>
      <w:r>
        <w:rPr>
          <w:rFonts w:hint="eastAsia" w:eastAsia="楷体_GB2312"/>
          <w:kern w:val="0"/>
          <w:sz w:val="32"/>
          <w:lang w:val="en-US" w:eastAsia="zh-CN"/>
        </w:rPr>
        <w:t>十八</w:t>
      </w:r>
      <w:r>
        <w:rPr>
          <w:rFonts w:hint="eastAsia" w:eastAsia="楷体_GB2312"/>
          <w:kern w:val="0"/>
          <w:sz w:val="32"/>
        </w:rPr>
        <w:t>届人大</w:t>
      </w:r>
      <w:r>
        <w:rPr>
          <w:rFonts w:hint="eastAsia" w:eastAsia="楷体_GB2312"/>
          <w:kern w:val="0"/>
          <w:sz w:val="32"/>
          <w:lang w:val="en-US" w:eastAsia="zh-CN"/>
        </w:rPr>
        <w:t>四</w:t>
      </w:r>
      <w:r>
        <w:rPr>
          <w:rFonts w:hint="eastAsia" w:eastAsia="楷体_GB2312"/>
          <w:kern w:val="0"/>
          <w:sz w:val="32"/>
        </w:rPr>
        <w:t>次会议</w:t>
      </w:r>
    </w:p>
    <w:p>
      <w:pPr>
        <w:spacing w:line="500" w:lineRule="exact"/>
        <w:rPr>
          <w:rFonts w:hint="eastAsia" w:eastAsia="楷体_GB2312"/>
          <w:spacing w:val="20"/>
          <w:sz w:val="32"/>
        </w:rPr>
      </w:pPr>
      <w:r>
        <w:rPr>
          <w:rFonts w:hint="eastAsia" w:eastAsia="楷体_GB2312"/>
          <w:spacing w:val="20"/>
          <w:sz w:val="32"/>
        </w:rPr>
        <w:t>文件（材料）之</w:t>
      </w:r>
    </w:p>
    <w:p>
      <w:pPr>
        <w:widowControl/>
        <w:shd w:val="clear" w:color="auto" w:fill="FFFFFF"/>
        <w:spacing w:line="600" w:lineRule="exact"/>
        <w:jc w:val="left"/>
        <w:rPr>
          <w:rFonts w:hint="eastAsia" w:ascii="方正小标宋_GBK" w:hAnsi="Arial" w:eastAsia="方正小标宋_GBK" w:cs="Arial"/>
          <w:color w:val="000000"/>
          <w:kern w:val="0"/>
          <w:sz w:val="44"/>
        </w:rPr>
      </w:pPr>
    </w:p>
    <w:p>
      <w:pPr>
        <w:widowControl/>
        <w:shd w:val="clear" w:color="auto" w:fill="FFFFFF"/>
        <w:spacing w:line="600" w:lineRule="exact"/>
        <w:jc w:val="center"/>
        <w:rPr>
          <w:rFonts w:hint="eastAsia" w:ascii="方正小标宋_GBK" w:hAnsi="Arial" w:eastAsia="方正小标宋_GBK" w:cs="Arial"/>
          <w:color w:val="000000"/>
          <w:kern w:val="0"/>
          <w:sz w:val="44"/>
          <w:szCs w:val="44"/>
        </w:rPr>
      </w:pPr>
      <w:r>
        <w:rPr>
          <w:rFonts w:hint="eastAsia" w:ascii="方正小标宋_GBK" w:hAnsi="Arial" w:eastAsia="方正小标宋_GBK" w:cs="Arial"/>
          <w:color w:val="000000"/>
          <w:kern w:val="0"/>
          <w:sz w:val="44"/>
        </w:rPr>
        <w:t>吉林市昌邑区人民法院</w:t>
      </w:r>
      <w:r>
        <w:rPr>
          <w:rFonts w:hint="eastAsia" w:ascii="方正小标宋_GBK" w:hAnsi="Arial" w:eastAsia="方正小标宋_GBK" w:cs="Arial"/>
          <w:color w:val="000000"/>
          <w:kern w:val="0"/>
          <w:sz w:val="44"/>
          <w:szCs w:val="44"/>
        </w:rPr>
        <w:t>工作报告</w:t>
      </w:r>
    </w:p>
    <w:p>
      <w:pPr>
        <w:widowControl/>
        <w:shd w:val="clear" w:color="auto" w:fill="FFFFFF"/>
        <w:spacing w:line="600" w:lineRule="exact"/>
        <w:jc w:val="center"/>
        <w:rPr>
          <w:rFonts w:hint="eastAsia" w:ascii="方正小标宋_GBK" w:hAnsi="Arial" w:eastAsia="方正小标宋_GBK" w:cs="Arial"/>
          <w:color w:val="000000"/>
          <w:kern w:val="0"/>
          <w:sz w:val="44"/>
          <w:szCs w:val="44"/>
        </w:rPr>
      </w:pPr>
    </w:p>
    <w:p>
      <w:pPr>
        <w:spacing w:line="600" w:lineRule="exact"/>
        <w:jc w:val="center"/>
        <w:outlineLvl w:val="0"/>
        <w:rPr>
          <w:rFonts w:eastAsia="楷体_GB2312"/>
          <w:sz w:val="32"/>
          <w:szCs w:val="32"/>
        </w:rPr>
      </w:pPr>
      <w:r>
        <w:rPr>
          <w:rFonts w:eastAsia="楷体_GB2312"/>
          <w:sz w:val="32"/>
          <w:szCs w:val="32"/>
        </w:rPr>
        <w:t>——201</w:t>
      </w:r>
      <w:r>
        <w:rPr>
          <w:rFonts w:hint="eastAsia" w:eastAsia="楷体_GB2312"/>
          <w:sz w:val="32"/>
          <w:szCs w:val="32"/>
          <w:lang w:val="en-US" w:eastAsia="zh-CN"/>
        </w:rPr>
        <w:t>9</w:t>
      </w:r>
      <w:r>
        <w:rPr>
          <w:rFonts w:hint="eastAsia" w:hAnsi="楷体_GB2312" w:eastAsia="楷体_GB2312"/>
          <w:sz w:val="32"/>
          <w:szCs w:val="32"/>
        </w:rPr>
        <w:t>年</w:t>
      </w:r>
      <w:r>
        <w:rPr>
          <w:rFonts w:hint="eastAsia" w:eastAsia="楷体_GB2312"/>
          <w:sz w:val="32"/>
          <w:szCs w:val="32"/>
          <w:lang w:val="en-US" w:eastAsia="zh-CN"/>
        </w:rPr>
        <w:t>12</w:t>
      </w:r>
      <w:r>
        <w:rPr>
          <w:rFonts w:hint="eastAsia" w:hAnsi="楷体_GB2312" w:eastAsia="楷体_GB2312"/>
          <w:sz w:val="32"/>
          <w:szCs w:val="32"/>
        </w:rPr>
        <w:t>月</w:t>
      </w:r>
      <w:r>
        <w:rPr>
          <w:rFonts w:hint="eastAsia" w:hAnsi="楷体_GB2312" w:eastAsia="楷体_GB2312"/>
          <w:sz w:val="32"/>
          <w:szCs w:val="32"/>
          <w:lang w:val="en-US" w:eastAsia="zh-CN"/>
        </w:rPr>
        <w:t>X</w:t>
      </w:r>
      <w:r>
        <w:rPr>
          <w:rFonts w:hint="eastAsia" w:hAnsi="楷体_GB2312" w:eastAsia="楷体_GB2312"/>
          <w:sz w:val="32"/>
          <w:szCs w:val="32"/>
        </w:rPr>
        <w:t>日在吉林市昌邑区</w:t>
      </w:r>
    </w:p>
    <w:p>
      <w:pPr>
        <w:widowControl/>
        <w:shd w:val="clear" w:color="auto" w:fill="FFFFFF"/>
        <w:spacing w:line="600" w:lineRule="exact"/>
        <w:jc w:val="center"/>
        <w:rPr>
          <w:rFonts w:ascii="Arial" w:hAnsi="Arial" w:eastAsia="宋体" w:cs="Arial"/>
          <w:color w:val="000000"/>
          <w:kern w:val="0"/>
          <w:sz w:val="32"/>
          <w:szCs w:val="32"/>
        </w:rPr>
      </w:pPr>
      <w:r>
        <w:rPr>
          <w:rFonts w:hint="eastAsia" w:hAnsi="楷体_GB2312" w:eastAsia="楷体_GB2312"/>
          <w:sz w:val="32"/>
          <w:szCs w:val="32"/>
        </w:rPr>
        <w:t>第</w:t>
      </w:r>
      <w:r>
        <w:rPr>
          <w:rFonts w:hint="eastAsia" w:hAnsi="楷体_GB2312" w:eastAsia="楷体_GB2312"/>
          <w:sz w:val="32"/>
          <w:szCs w:val="32"/>
          <w:lang w:eastAsia="zh-CN"/>
        </w:rPr>
        <w:t>十八届</w:t>
      </w:r>
      <w:r>
        <w:rPr>
          <w:rFonts w:hint="eastAsia" w:hAnsi="楷体_GB2312" w:eastAsia="楷体_GB2312"/>
          <w:sz w:val="32"/>
          <w:szCs w:val="32"/>
        </w:rPr>
        <w:t>人民代表大会第</w:t>
      </w:r>
      <w:r>
        <w:rPr>
          <w:rFonts w:hint="eastAsia" w:hAnsi="楷体_GB2312" w:eastAsia="楷体_GB2312"/>
          <w:sz w:val="32"/>
          <w:szCs w:val="32"/>
          <w:lang w:val="en-US" w:eastAsia="zh-CN"/>
        </w:rPr>
        <w:t>四</w:t>
      </w:r>
      <w:r>
        <w:rPr>
          <w:rFonts w:hint="eastAsia" w:hAnsi="楷体_GB2312" w:eastAsia="楷体_GB2312"/>
          <w:sz w:val="32"/>
          <w:szCs w:val="32"/>
        </w:rPr>
        <w:t>次会议上</w:t>
      </w:r>
    </w:p>
    <w:p>
      <w:pPr>
        <w:widowControl/>
        <w:shd w:val="clear" w:color="auto" w:fill="FFFFFF"/>
        <w:spacing w:line="600" w:lineRule="exact"/>
        <w:jc w:val="center"/>
        <w:rPr>
          <w:rFonts w:hint="eastAsia" w:ascii="楷体" w:hAnsi="楷体" w:eastAsia="楷体" w:cs="Arial"/>
          <w:color w:val="000000"/>
          <w:kern w:val="0"/>
          <w:sz w:val="32"/>
          <w:szCs w:val="32"/>
        </w:rPr>
      </w:pPr>
    </w:p>
    <w:p>
      <w:pPr>
        <w:widowControl/>
        <w:shd w:val="clear" w:color="auto" w:fill="FFFFFF"/>
        <w:spacing w:line="600" w:lineRule="exact"/>
        <w:jc w:val="center"/>
        <w:rPr>
          <w:rFonts w:ascii="楷体" w:hAnsi="楷体" w:eastAsia="楷体" w:cs="Arial"/>
          <w:color w:val="000000"/>
          <w:kern w:val="0"/>
          <w:sz w:val="19"/>
          <w:szCs w:val="19"/>
        </w:rPr>
      </w:pPr>
      <w:r>
        <w:rPr>
          <w:rFonts w:hint="eastAsia" w:ascii="楷体" w:hAnsi="楷体" w:eastAsia="楷体" w:cs="Arial"/>
          <w:color w:val="000000"/>
          <w:kern w:val="0"/>
          <w:sz w:val="32"/>
          <w:szCs w:val="32"/>
        </w:rPr>
        <w:t>院长</w:t>
      </w:r>
      <w:r>
        <w:rPr>
          <w:rFonts w:ascii="Arial" w:hAnsi="Arial" w:eastAsia="楷体" w:cs="Arial"/>
          <w:color w:val="000000"/>
          <w:kern w:val="0"/>
          <w:sz w:val="32"/>
          <w:szCs w:val="32"/>
        </w:rPr>
        <w:t> </w:t>
      </w:r>
      <w:r>
        <w:rPr>
          <w:rFonts w:hint="eastAsia" w:ascii="Arial" w:hAnsi="Arial" w:eastAsia="楷体" w:cs="Arial"/>
          <w:color w:val="000000"/>
          <w:kern w:val="0"/>
          <w:sz w:val="32"/>
          <w:szCs w:val="32"/>
        </w:rPr>
        <w:t xml:space="preserve"> </w:t>
      </w:r>
      <w:r>
        <w:rPr>
          <w:rFonts w:hint="eastAsia" w:ascii="楷体" w:hAnsi="楷体" w:eastAsia="楷体" w:cs="Arial"/>
          <w:color w:val="000000"/>
          <w:kern w:val="0"/>
          <w:sz w:val="32"/>
          <w:szCs w:val="32"/>
        </w:rPr>
        <w:t>杨  光</w:t>
      </w:r>
    </w:p>
    <w:p>
      <w:pPr>
        <w:widowControl/>
        <w:shd w:val="clear" w:color="auto" w:fill="FFFFFF"/>
        <w:spacing w:line="600" w:lineRule="exact"/>
        <w:jc w:val="left"/>
        <w:rPr>
          <w:rFonts w:ascii="Arial" w:hAnsi="Arial" w:eastAsia="宋体" w:cs="Arial"/>
          <w:color w:val="000000"/>
          <w:kern w:val="0"/>
          <w:sz w:val="19"/>
          <w:szCs w:val="19"/>
        </w:rPr>
      </w:pPr>
      <w:r>
        <w:rPr>
          <w:rFonts w:hint="eastAsia" w:ascii="宋体" w:hAnsi="宋体" w:eastAsia="宋体" w:cs="宋体"/>
          <w:color w:val="000000"/>
          <w:kern w:val="0"/>
          <w:sz w:val="32"/>
          <w:szCs w:val="32"/>
        </w:rPr>
        <w:t> </w:t>
      </w:r>
    </w:p>
    <w:p>
      <w:pPr>
        <w:keepNext w:val="0"/>
        <w:keepLines w:val="0"/>
        <w:pageBreakBefore w:val="0"/>
        <w:widowControl/>
        <w:shd w:val="clear" w:color="auto" w:fill="FFFFFF"/>
        <w:kinsoku/>
        <w:wordWrap/>
        <w:overflowPunct/>
        <w:topLinePunct w:val="0"/>
        <w:autoSpaceDE/>
        <w:autoSpaceDN/>
        <w:bidi w:val="0"/>
        <w:adjustRightInd/>
        <w:snapToGrid/>
        <w:spacing w:line="580" w:lineRule="exact"/>
        <w:jc w:val="left"/>
        <w:textAlignment w:val="auto"/>
        <w:outlineLvl w:val="9"/>
        <w:rPr>
          <w:rFonts w:ascii="Arial" w:hAnsi="Arial" w:eastAsia="宋体" w:cs="Arial"/>
          <w:color w:val="000000"/>
          <w:kern w:val="0"/>
          <w:sz w:val="19"/>
          <w:szCs w:val="19"/>
        </w:rPr>
      </w:pPr>
      <w:r>
        <w:rPr>
          <w:rFonts w:hint="eastAsia" w:ascii="仿宋" w:hAnsi="仿宋" w:eastAsia="仿宋" w:cs="Arial"/>
          <w:color w:val="000000"/>
          <w:kern w:val="0"/>
          <w:sz w:val="32"/>
          <w:szCs w:val="32"/>
        </w:rPr>
        <w:t>各位代表：</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jc w:val="left"/>
        <w:textAlignment w:val="auto"/>
        <w:outlineLvl w:val="9"/>
        <w:rPr>
          <w:rFonts w:ascii="Arial" w:hAnsi="Arial" w:eastAsia="宋体" w:cs="Arial"/>
          <w:color w:val="000000"/>
          <w:kern w:val="0"/>
          <w:sz w:val="19"/>
          <w:szCs w:val="19"/>
        </w:rPr>
      </w:pPr>
      <w:r>
        <w:rPr>
          <w:rFonts w:hint="eastAsia" w:ascii="仿宋" w:hAnsi="仿宋" w:eastAsia="仿宋" w:cs="Arial"/>
          <w:color w:val="000000"/>
          <w:kern w:val="0"/>
          <w:sz w:val="32"/>
          <w:szCs w:val="32"/>
        </w:rPr>
        <w:t>我代表区人民法院向大会报告工作，请予审议。</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jc w:val="left"/>
        <w:textAlignment w:val="auto"/>
        <w:outlineLvl w:val="9"/>
        <w:rPr>
          <w:rFonts w:ascii="Arial" w:hAnsi="Arial" w:eastAsia="宋体" w:cs="Arial"/>
          <w:color w:val="000000"/>
          <w:kern w:val="0"/>
          <w:sz w:val="19"/>
          <w:szCs w:val="19"/>
        </w:rPr>
      </w:pPr>
      <w:r>
        <w:rPr>
          <w:rFonts w:hint="eastAsia" w:ascii="仿宋" w:hAnsi="仿宋" w:eastAsia="仿宋" w:cs="Arial"/>
          <w:color w:val="000000"/>
          <w:kern w:val="0"/>
          <w:sz w:val="32"/>
          <w:szCs w:val="32"/>
        </w:rPr>
        <w:t>2019年，我院在区委领导，区人大有力监督和区政府、区政协及社会各界支持下，坚持以习近平新时代中国特色社会主义思想为指导，不忘初心、牢记使命，忠诚履行宪法和法律赋予的职责，各项工作取得了新进展，为保障辖区改革发展稳定做出了积极贡献。</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3"/>
        <w:jc w:val="left"/>
        <w:textAlignment w:val="auto"/>
        <w:outlineLvl w:val="9"/>
        <w:rPr>
          <w:rFonts w:ascii="Arial" w:hAnsi="Arial" w:eastAsia="宋体" w:cs="Arial"/>
          <w:color w:val="000000"/>
          <w:kern w:val="0"/>
          <w:sz w:val="19"/>
          <w:szCs w:val="19"/>
        </w:rPr>
      </w:pPr>
      <w:r>
        <w:rPr>
          <w:rFonts w:hint="eastAsia" w:ascii="黑体" w:hAnsi="黑体" w:eastAsia="黑体" w:cs="Arial"/>
          <w:b/>
          <w:bCs/>
          <w:color w:val="000000"/>
          <w:kern w:val="0"/>
          <w:sz w:val="32"/>
          <w:szCs w:val="32"/>
        </w:rPr>
        <w:t>一、认真履行审判职责，全力维护社会和谐稳定</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jc w:val="left"/>
        <w:textAlignment w:val="auto"/>
        <w:outlineLvl w:val="9"/>
        <w:rPr>
          <w:rFonts w:ascii="Arial" w:hAnsi="Arial" w:eastAsia="宋体" w:cs="Arial"/>
          <w:color w:val="000000"/>
          <w:kern w:val="0"/>
          <w:sz w:val="19"/>
          <w:szCs w:val="19"/>
        </w:rPr>
      </w:pPr>
      <w:r>
        <w:rPr>
          <w:rFonts w:hint="eastAsia" w:ascii="仿宋" w:hAnsi="仿宋" w:eastAsia="仿宋" w:cs="Arial"/>
          <w:color w:val="000000"/>
          <w:kern w:val="0"/>
          <w:sz w:val="32"/>
          <w:szCs w:val="32"/>
        </w:rPr>
        <w:t>2019年，我院受理各类案件10</w:t>
      </w:r>
      <w:r>
        <w:rPr>
          <w:rFonts w:hint="eastAsia" w:ascii="仿宋" w:hAnsi="仿宋" w:eastAsia="仿宋" w:cs="Arial"/>
          <w:color w:val="000000"/>
          <w:kern w:val="0"/>
          <w:sz w:val="32"/>
          <w:szCs w:val="32"/>
          <w:lang w:val="en-US" w:eastAsia="zh-CN"/>
        </w:rPr>
        <w:t>505</w:t>
      </w:r>
      <w:r>
        <w:rPr>
          <w:rFonts w:hint="eastAsia" w:ascii="仿宋" w:hAnsi="仿宋" w:eastAsia="仿宋" w:cs="Arial"/>
          <w:color w:val="000000"/>
          <w:kern w:val="0"/>
          <w:sz w:val="32"/>
          <w:szCs w:val="32"/>
        </w:rPr>
        <w:t>件，审（执）结</w:t>
      </w:r>
      <w:r>
        <w:rPr>
          <w:rFonts w:hint="eastAsia" w:ascii="仿宋" w:hAnsi="仿宋" w:eastAsia="仿宋" w:cs="Arial"/>
          <w:color w:val="000000"/>
          <w:kern w:val="0"/>
          <w:sz w:val="32"/>
          <w:szCs w:val="32"/>
          <w:lang w:val="en-US" w:eastAsia="zh-CN"/>
        </w:rPr>
        <w:t>9379</w:t>
      </w:r>
      <w:r>
        <w:rPr>
          <w:rFonts w:hint="eastAsia" w:ascii="仿宋" w:hAnsi="仿宋" w:eastAsia="仿宋" w:cs="Arial"/>
          <w:color w:val="000000"/>
          <w:kern w:val="0"/>
          <w:sz w:val="32"/>
          <w:szCs w:val="32"/>
        </w:rPr>
        <w:t>件，同比分别上升</w:t>
      </w:r>
      <w:r>
        <w:rPr>
          <w:rFonts w:hint="eastAsia" w:ascii="仿宋" w:hAnsi="仿宋" w:eastAsia="仿宋" w:cs="Arial"/>
          <w:color w:val="000000"/>
          <w:kern w:val="0"/>
          <w:sz w:val="32"/>
          <w:szCs w:val="32"/>
          <w:lang w:val="en-US" w:eastAsia="zh-CN"/>
        </w:rPr>
        <w:t>11.98</w:t>
      </w:r>
      <w:r>
        <w:rPr>
          <w:rFonts w:hint="eastAsia" w:ascii="仿宋" w:hAnsi="仿宋" w:eastAsia="仿宋" w:cs="Arial"/>
          <w:color w:val="000000"/>
          <w:kern w:val="0"/>
          <w:sz w:val="32"/>
          <w:szCs w:val="32"/>
        </w:rPr>
        <w:t>%、</w:t>
      </w:r>
      <w:r>
        <w:rPr>
          <w:rFonts w:hint="eastAsia" w:ascii="仿宋" w:hAnsi="仿宋" w:eastAsia="仿宋" w:cs="Arial"/>
          <w:color w:val="000000"/>
          <w:kern w:val="0"/>
          <w:sz w:val="32"/>
          <w:szCs w:val="32"/>
          <w:lang w:val="en-US" w:eastAsia="zh-CN"/>
        </w:rPr>
        <w:t>24.97</w:t>
      </w:r>
      <w:r>
        <w:rPr>
          <w:rFonts w:hint="eastAsia" w:ascii="仿宋" w:hAnsi="仿宋" w:eastAsia="仿宋" w:cs="Arial"/>
          <w:color w:val="000000"/>
          <w:kern w:val="0"/>
          <w:sz w:val="32"/>
          <w:szCs w:val="32"/>
        </w:rPr>
        <w:t>%，收结案数再创历史新高；法官人均结案</w:t>
      </w:r>
      <w:r>
        <w:rPr>
          <w:rFonts w:hint="eastAsia" w:ascii="仿宋" w:hAnsi="仿宋" w:eastAsia="仿宋" w:cs="Arial"/>
          <w:color w:val="000000"/>
          <w:kern w:val="0"/>
          <w:sz w:val="32"/>
          <w:szCs w:val="32"/>
          <w:lang w:val="en-US" w:eastAsia="zh-CN"/>
        </w:rPr>
        <w:t>187.58</w:t>
      </w:r>
      <w:r>
        <w:rPr>
          <w:rFonts w:hint="eastAsia" w:ascii="仿宋" w:hAnsi="仿宋" w:eastAsia="仿宋" w:cs="Arial"/>
          <w:color w:val="000000"/>
          <w:kern w:val="0"/>
          <w:sz w:val="32"/>
          <w:szCs w:val="32"/>
        </w:rPr>
        <w:t>件，同比增加</w:t>
      </w:r>
      <w:r>
        <w:rPr>
          <w:rFonts w:hint="eastAsia" w:ascii="仿宋" w:hAnsi="仿宋" w:eastAsia="仿宋" w:cs="Arial"/>
          <w:color w:val="000000"/>
          <w:kern w:val="0"/>
          <w:sz w:val="32"/>
          <w:szCs w:val="32"/>
          <w:lang w:val="en-US" w:eastAsia="zh-CN"/>
        </w:rPr>
        <w:t>37.48</w:t>
      </w:r>
      <w:r>
        <w:rPr>
          <w:rFonts w:hint="eastAsia" w:ascii="仿宋" w:hAnsi="仿宋" w:eastAsia="仿宋" w:cs="Arial"/>
          <w:color w:val="000000"/>
          <w:kern w:val="0"/>
          <w:sz w:val="32"/>
          <w:szCs w:val="32"/>
        </w:rPr>
        <w:t>件。</w:t>
      </w:r>
    </w:p>
    <w:p>
      <w:pPr>
        <w:keepNext w:val="0"/>
        <w:keepLines w:val="0"/>
        <w:pageBreakBefore w:val="0"/>
        <w:kinsoku/>
        <w:wordWrap/>
        <w:overflowPunct/>
        <w:topLinePunct w:val="0"/>
        <w:autoSpaceDE/>
        <w:autoSpaceDN/>
        <w:bidi w:val="0"/>
        <w:adjustRightInd/>
        <w:snapToGrid/>
        <w:spacing w:line="580" w:lineRule="exact"/>
        <w:textAlignment w:val="auto"/>
        <w:outlineLvl w:val="9"/>
      </w:pPr>
      <w:r>
        <w:rPr>
          <w:rFonts w:hint="eastAsia" w:ascii="楷体" w:hAnsi="楷体" w:eastAsia="楷体" w:cs="Arial"/>
          <w:b/>
          <w:bCs/>
          <w:color w:val="000000"/>
          <w:kern w:val="0"/>
          <w:sz w:val="32"/>
          <w:szCs w:val="32"/>
        </w:rPr>
        <w:t xml:space="preserve">    （一）依法惩治各类刑事犯罪。</w:t>
      </w:r>
      <w:r>
        <w:rPr>
          <w:rFonts w:hint="eastAsia" w:ascii="仿宋" w:hAnsi="仿宋" w:eastAsia="仿宋" w:cs="Arial"/>
          <w:color w:val="000000"/>
          <w:kern w:val="0"/>
          <w:sz w:val="32"/>
          <w:szCs w:val="32"/>
        </w:rPr>
        <w:t>审结各类刑事案件7</w:t>
      </w:r>
      <w:r>
        <w:rPr>
          <w:rFonts w:hint="eastAsia" w:ascii="仿宋" w:hAnsi="仿宋" w:eastAsia="仿宋" w:cs="Arial"/>
          <w:color w:val="000000"/>
          <w:kern w:val="0"/>
          <w:sz w:val="32"/>
          <w:szCs w:val="32"/>
          <w:lang w:val="en-US" w:eastAsia="zh-CN"/>
        </w:rPr>
        <w:t>55</w:t>
      </w:r>
      <w:r>
        <w:rPr>
          <w:rFonts w:hint="eastAsia" w:ascii="仿宋" w:hAnsi="仿宋" w:eastAsia="仿宋" w:cs="Arial"/>
          <w:color w:val="000000"/>
          <w:kern w:val="0"/>
          <w:sz w:val="32"/>
          <w:szCs w:val="32"/>
        </w:rPr>
        <w:t>件，</w:t>
      </w:r>
      <w:r>
        <w:rPr>
          <w:rFonts w:hint="eastAsia" w:ascii="仿宋" w:hAnsi="仿宋" w:eastAsia="仿宋"/>
          <w:sz w:val="32"/>
          <w:szCs w:val="32"/>
        </w:rPr>
        <w:t>判处罪犯1</w:t>
      </w:r>
      <w:r>
        <w:rPr>
          <w:rFonts w:hint="eastAsia" w:ascii="仿宋" w:hAnsi="仿宋" w:eastAsia="仿宋"/>
          <w:sz w:val="32"/>
          <w:szCs w:val="32"/>
          <w:lang w:val="en-US" w:eastAsia="zh-CN"/>
        </w:rPr>
        <w:t>107</w:t>
      </w:r>
      <w:r>
        <w:rPr>
          <w:rFonts w:hint="eastAsia" w:ascii="仿宋" w:hAnsi="仿宋" w:eastAsia="仿宋"/>
          <w:sz w:val="32"/>
          <w:szCs w:val="32"/>
        </w:rPr>
        <w:t>人</w:t>
      </w:r>
      <w:r>
        <w:rPr>
          <w:rFonts w:hint="eastAsia" w:ascii="仿宋" w:hAnsi="仿宋" w:eastAsia="仿宋" w:cs="Arial"/>
          <w:color w:val="000000"/>
          <w:kern w:val="0"/>
          <w:sz w:val="32"/>
          <w:szCs w:val="32"/>
        </w:rPr>
        <w:t>，其中判处五年以上有期徒刑1</w:t>
      </w:r>
      <w:r>
        <w:rPr>
          <w:rFonts w:hint="eastAsia" w:ascii="仿宋" w:hAnsi="仿宋" w:eastAsia="仿宋" w:cs="Arial"/>
          <w:color w:val="000000"/>
          <w:kern w:val="0"/>
          <w:sz w:val="32"/>
          <w:szCs w:val="32"/>
          <w:lang w:val="en-US" w:eastAsia="zh-CN"/>
        </w:rPr>
        <w:t>2</w:t>
      </w:r>
      <w:r>
        <w:rPr>
          <w:rFonts w:hint="eastAsia" w:ascii="仿宋" w:hAnsi="仿宋" w:eastAsia="仿宋" w:cs="Arial"/>
          <w:color w:val="000000"/>
          <w:kern w:val="0"/>
          <w:sz w:val="32"/>
          <w:szCs w:val="32"/>
        </w:rPr>
        <w:t>5人。重点打击</w:t>
      </w:r>
      <w:r>
        <w:rPr>
          <w:rFonts w:hint="eastAsia" w:ascii="仿宋" w:hAnsi="仿宋" w:eastAsia="仿宋" w:cs="Arial"/>
          <w:color w:val="000000"/>
          <w:kern w:val="0"/>
          <w:sz w:val="32"/>
          <w:szCs w:val="32"/>
          <w:lang w:eastAsia="zh-CN"/>
        </w:rPr>
        <w:t>涉黑恶及九类</w:t>
      </w:r>
      <w:r>
        <w:rPr>
          <w:rFonts w:hint="eastAsia" w:ascii="仿宋" w:hAnsi="仿宋" w:eastAsia="仿宋" w:cs="Arial"/>
          <w:color w:val="000000"/>
          <w:kern w:val="0"/>
          <w:sz w:val="32"/>
          <w:szCs w:val="32"/>
        </w:rPr>
        <w:t>犯罪，努力增加人民群众安全感。坚持宽严相济刑事政策，对</w:t>
      </w:r>
      <w:r>
        <w:rPr>
          <w:rFonts w:hint="eastAsia" w:ascii="仿宋" w:hAnsi="仿宋" w:eastAsia="仿宋" w:cs="Arial"/>
          <w:color w:val="000000"/>
          <w:kern w:val="0"/>
          <w:sz w:val="32"/>
          <w:szCs w:val="32"/>
          <w:lang w:val="en-US" w:eastAsia="zh-CN"/>
        </w:rPr>
        <w:t>136</w:t>
      </w:r>
      <w:r>
        <w:rPr>
          <w:rFonts w:hint="eastAsia" w:ascii="仿宋" w:hAnsi="仿宋" w:eastAsia="仿宋" w:cs="Arial"/>
          <w:color w:val="000000"/>
          <w:kern w:val="0"/>
          <w:sz w:val="32"/>
          <w:szCs w:val="32"/>
        </w:rPr>
        <w:t>名犯罪情节轻微、不致再危害社会的被告人依法宣告缓刑，减少了社会对抗。</w:t>
      </w:r>
    </w:p>
    <w:p>
      <w:pPr>
        <w:keepNext w:val="0"/>
        <w:keepLines w:val="0"/>
        <w:pageBreakBefore w:val="0"/>
        <w:kinsoku/>
        <w:wordWrap/>
        <w:overflowPunct/>
        <w:topLinePunct w:val="0"/>
        <w:autoSpaceDE/>
        <w:autoSpaceDN/>
        <w:bidi w:val="0"/>
        <w:adjustRightInd/>
        <w:snapToGrid/>
        <w:spacing w:line="580" w:lineRule="exact"/>
        <w:textAlignment w:val="auto"/>
        <w:outlineLvl w:val="9"/>
      </w:pPr>
      <w:r>
        <w:rPr>
          <w:rFonts w:hint="eastAsia" w:ascii="楷体" w:hAnsi="楷体" w:eastAsia="楷体" w:cs="Arial"/>
          <w:b/>
          <w:bCs/>
          <w:color w:val="000000"/>
          <w:kern w:val="0"/>
          <w:sz w:val="32"/>
          <w:szCs w:val="32"/>
        </w:rPr>
        <w:t xml:space="preserve">    （二）强化司法民生保障职能。</w:t>
      </w:r>
      <w:r>
        <w:rPr>
          <w:rFonts w:hint="eastAsia" w:ascii="仿宋" w:hAnsi="仿宋" w:eastAsia="仿宋" w:cs="Arial"/>
          <w:color w:val="000000"/>
          <w:kern w:val="0"/>
          <w:sz w:val="32"/>
          <w:szCs w:val="32"/>
        </w:rPr>
        <w:t>全年审结民商事案件</w:t>
      </w:r>
      <w:r>
        <w:rPr>
          <w:rFonts w:hint="eastAsia" w:ascii="仿宋" w:hAnsi="仿宋" w:eastAsia="仿宋" w:cs="Arial"/>
          <w:color w:val="000000"/>
          <w:kern w:val="0"/>
          <w:sz w:val="32"/>
          <w:szCs w:val="32"/>
          <w:lang w:val="en-US" w:eastAsia="zh-CN"/>
        </w:rPr>
        <w:t>4682</w:t>
      </w:r>
      <w:r>
        <w:rPr>
          <w:rFonts w:hint="eastAsia" w:ascii="仿宋" w:hAnsi="仿宋" w:eastAsia="仿宋" w:cs="Arial"/>
          <w:color w:val="000000"/>
          <w:kern w:val="0"/>
          <w:sz w:val="32"/>
          <w:szCs w:val="32"/>
        </w:rPr>
        <w:t>件。坚决维护人民群众切身利益，快审速执人身损害赔偿、征地拆迁补偿、拖欠工程款和农民工追索劳动报酬等案件</w:t>
      </w:r>
      <w:r>
        <w:rPr>
          <w:rFonts w:hint="eastAsia" w:ascii="仿宋" w:hAnsi="仿宋" w:eastAsia="仿宋" w:cs="Arial"/>
          <w:color w:val="000000"/>
          <w:kern w:val="0"/>
          <w:sz w:val="32"/>
          <w:szCs w:val="32"/>
          <w:lang w:val="en-US" w:eastAsia="zh-CN"/>
        </w:rPr>
        <w:t>309件</w:t>
      </w:r>
      <w:r>
        <w:rPr>
          <w:rFonts w:hint="eastAsia" w:ascii="仿宋" w:hAnsi="仿宋" w:eastAsia="仿宋" w:cs="Arial"/>
          <w:color w:val="000000"/>
          <w:kern w:val="0"/>
          <w:sz w:val="32"/>
          <w:szCs w:val="32"/>
        </w:rPr>
        <w:t>。九站法庭充分发挥“四站四庭”调审功能，创立“三个及时”办案流程，便捷高效化解了大量涉农纠纷。</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3"/>
        <w:jc w:val="left"/>
        <w:textAlignment w:val="auto"/>
        <w:outlineLvl w:val="9"/>
        <w:rPr>
          <w:rFonts w:ascii="仿宋" w:hAnsi="仿宋" w:eastAsia="仿宋" w:cs="Arial"/>
          <w:color w:val="000000"/>
          <w:kern w:val="0"/>
          <w:sz w:val="19"/>
          <w:szCs w:val="19"/>
        </w:rPr>
      </w:pPr>
      <w:r>
        <w:rPr>
          <w:rFonts w:hint="eastAsia" w:ascii="楷体" w:hAnsi="楷体" w:eastAsia="楷体" w:cs="Arial"/>
          <w:b/>
          <w:bCs/>
          <w:color w:val="000000"/>
          <w:kern w:val="0"/>
          <w:sz w:val="32"/>
          <w:szCs w:val="32"/>
        </w:rPr>
        <w:t>（三）积极稳妥化解行政争议。</w:t>
      </w:r>
      <w:r>
        <w:rPr>
          <w:rFonts w:hint="eastAsia" w:ascii="仿宋" w:hAnsi="仿宋" w:eastAsia="仿宋" w:cs="Arial"/>
          <w:color w:val="000000"/>
          <w:kern w:val="0"/>
          <w:sz w:val="32"/>
          <w:szCs w:val="32"/>
        </w:rPr>
        <w:t>聚焦法治政府建设，依法化解官民矛盾，审结行政案件160件，同比上升83.91%，结合审判活动发出司法建议5</w:t>
      </w:r>
      <w:r>
        <w:rPr>
          <w:rFonts w:hint="eastAsia" w:ascii="仿宋" w:hAnsi="仿宋" w:eastAsia="仿宋" w:cs="Arial"/>
          <w:color w:val="000000"/>
          <w:kern w:val="0"/>
          <w:sz w:val="32"/>
          <w:szCs w:val="32"/>
          <w:lang w:eastAsia="zh-CN"/>
        </w:rPr>
        <w:t>份；</w:t>
      </w:r>
      <w:r>
        <w:rPr>
          <w:rFonts w:hint="eastAsia" w:ascii="仿宋" w:hAnsi="仿宋" w:eastAsia="仿宋" w:cs="Arial"/>
          <w:color w:val="000000"/>
          <w:kern w:val="0"/>
          <w:sz w:val="32"/>
          <w:szCs w:val="32"/>
        </w:rPr>
        <w:t>将调解贯穿到审判各环节，调撤案件30件</w:t>
      </w:r>
      <w:r>
        <w:rPr>
          <w:rFonts w:hint="eastAsia" w:ascii="仿宋" w:hAnsi="仿宋" w:eastAsia="仿宋" w:cs="Arial"/>
          <w:color w:val="000000"/>
          <w:kern w:val="0"/>
          <w:sz w:val="32"/>
          <w:szCs w:val="32"/>
          <w:lang w:eastAsia="zh-CN"/>
        </w:rPr>
        <w:t>；</w:t>
      </w:r>
      <w:r>
        <w:rPr>
          <w:rFonts w:hint="eastAsia" w:ascii="仿宋" w:hAnsi="仿宋" w:eastAsia="仿宋" w:cs="Arial"/>
          <w:color w:val="000000"/>
          <w:kern w:val="0"/>
          <w:sz w:val="32"/>
          <w:szCs w:val="32"/>
        </w:rPr>
        <w:t>审理涉及土地资源类行政非诉案件51件，为环境资源保护提供法治保障。</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3"/>
        <w:jc w:val="left"/>
        <w:textAlignment w:val="auto"/>
        <w:outlineLvl w:val="9"/>
        <w:rPr>
          <w:rFonts w:ascii="仿宋" w:hAnsi="仿宋" w:eastAsia="仿宋" w:cs="Arial"/>
          <w:color w:val="000000"/>
          <w:kern w:val="0"/>
          <w:sz w:val="19"/>
          <w:szCs w:val="19"/>
        </w:rPr>
      </w:pPr>
      <w:r>
        <w:rPr>
          <w:rFonts w:hint="eastAsia" w:ascii="楷体" w:hAnsi="楷体" w:eastAsia="楷体" w:cs="Arial"/>
          <w:b/>
          <w:bCs/>
          <w:color w:val="000000"/>
          <w:kern w:val="0"/>
          <w:sz w:val="32"/>
          <w:szCs w:val="32"/>
        </w:rPr>
        <w:t>（四）全力巩固执行攻坚成果</w:t>
      </w:r>
      <w:r>
        <w:rPr>
          <w:rFonts w:hint="eastAsia" w:ascii="仿宋_GB2312" w:hAnsi="Arial" w:eastAsia="仿宋_GB2312" w:cs="Arial"/>
          <w:b/>
          <w:bCs/>
          <w:color w:val="000000"/>
          <w:kern w:val="0"/>
          <w:sz w:val="32"/>
          <w:szCs w:val="32"/>
        </w:rPr>
        <w:t>。</w:t>
      </w:r>
      <w:r>
        <w:rPr>
          <w:rFonts w:hint="eastAsia" w:ascii="仿宋" w:hAnsi="仿宋" w:eastAsia="仿宋" w:cs="Arial"/>
          <w:color w:val="000000"/>
          <w:kern w:val="0"/>
          <w:sz w:val="32"/>
          <w:szCs w:val="32"/>
        </w:rPr>
        <w:t>全年</w:t>
      </w:r>
      <w:r>
        <w:rPr>
          <w:rFonts w:hint="eastAsia" w:ascii="仿宋" w:hAnsi="仿宋" w:eastAsia="仿宋" w:cs="Arial"/>
          <w:color w:val="000000"/>
          <w:kern w:val="0"/>
          <w:sz w:val="32"/>
          <w:szCs w:val="32"/>
          <w:lang w:eastAsia="zh-CN"/>
        </w:rPr>
        <w:t>执行</w:t>
      </w:r>
      <w:r>
        <w:rPr>
          <w:rFonts w:hint="eastAsia" w:ascii="仿宋" w:hAnsi="仿宋" w:eastAsia="仿宋" w:cs="Arial"/>
          <w:color w:val="000000"/>
          <w:kern w:val="0"/>
          <w:sz w:val="32"/>
          <w:szCs w:val="32"/>
        </w:rPr>
        <w:t>结案3</w:t>
      </w:r>
      <w:r>
        <w:rPr>
          <w:rFonts w:hint="eastAsia" w:ascii="仿宋" w:hAnsi="仿宋" w:eastAsia="仿宋" w:cs="Arial"/>
          <w:color w:val="000000"/>
          <w:kern w:val="0"/>
          <w:sz w:val="32"/>
          <w:szCs w:val="32"/>
          <w:lang w:val="en-US" w:eastAsia="zh-CN"/>
        </w:rPr>
        <w:t>613</w:t>
      </w:r>
      <w:r>
        <w:rPr>
          <w:rFonts w:hint="eastAsia" w:ascii="仿宋" w:hAnsi="仿宋" w:eastAsia="仿宋" w:cs="Arial"/>
          <w:color w:val="000000"/>
          <w:kern w:val="0"/>
          <w:sz w:val="32"/>
          <w:szCs w:val="32"/>
        </w:rPr>
        <w:t>件，实际执行到位率2</w:t>
      </w:r>
      <w:r>
        <w:rPr>
          <w:rFonts w:hint="eastAsia" w:ascii="仿宋" w:hAnsi="仿宋" w:eastAsia="仿宋" w:cs="Arial"/>
          <w:color w:val="000000"/>
          <w:kern w:val="0"/>
          <w:sz w:val="32"/>
          <w:szCs w:val="32"/>
          <w:lang w:val="en-US" w:eastAsia="zh-CN"/>
        </w:rPr>
        <w:t>7.02</w:t>
      </w:r>
      <w:r>
        <w:rPr>
          <w:rFonts w:hint="eastAsia" w:ascii="仿宋" w:hAnsi="仿宋" w:eastAsia="仿宋" w:cs="Arial"/>
          <w:color w:val="000000"/>
          <w:kern w:val="0"/>
          <w:sz w:val="32"/>
          <w:szCs w:val="32"/>
        </w:rPr>
        <w:t>%。紧紧依靠党委领导、政府支持和相关部门配合，持续加大对失信被执行人联合惩戒力度，精心组织“春雷”“秋猎”</w:t>
      </w:r>
      <w:r>
        <w:rPr>
          <w:rFonts w:hint="eastAsia" w:ascii="仿宋" w:hAnsi="仿宋" w:eastAsia="仿宋" w:cs="Arial"/>
          <w:color w:val="000000"/>
          <w:kern w:val="0"/>
          <w:sz w:val="32"/>
          <w:szCs w:val="32"/>
          <w:lang w:eastAsia="zh-CN"/>
        </w:rPr>
        <w:t>等</w:t>
      </w:r>
      <w:r>
        <w:rPr>
          <w:rFonts w:hint="eastAsia" w:ascii="仿宋" w:hAnsi="仿宋" w:eastAsia="仿宋" w:cs="Arial"/>
          <w:color w:val="000000"/>
          <w:kern w:val="0"/>
          <w:sz w:val="32"/>
          <w:szCs w:val="32"/>
        </w:rPr>
        <w:t>专项行动，发布失信被执行人名单3</w:t>
      </w:r>
      <w:r>
        <w:rPr>
          <w:rFonts w:hint="eastAsia" w:ascii="仿宋" w:hAnsi="仿宋" w:eastAsia="仿宋" w:cs="Arial"/>
          <w:color w:val="000000"/>
          <w:kern w:val="0"/>
          <w:sz w:val="32"/>
          <w:szCs w:val="32"/>
          <w:lang w:val="en-US" w:eastAsia="zh-CN"/>
        </w:rPr>
        <w:t>02</w:t>
      </w:r>
      <w:r>
        <w:rPr>
          <w:rFonts w:hint="eastAsia" w:ascii="仿宋" w:hAnsi="仿宋" w:eastAsia="仿宋" w:cs="Arial"/>
          <w:color w:val="000000"/>
          <w:kern w:val="0"/>
          <w:sz w:val="32"/>
          <w:szCs w:val="32"/>
        </w:rPr>
        <w:t>人次，司法拘留2</w:t>
      </w:r>
      <w:r>
        <w:rPr>
          <w:rFonts w:hint="eastAsia" w:ascii="仿宋" w:hAnsi="仿宋" w:eastAsia="仿宋" w:cs="Arial"/>
          <w:color w:val="000000"/>
          <w:kern w:val="0"/>
          <w:sz w:val="32"/>
          <w:szCs w:val="32"/>
          <w:lang w:val="en-US" w:eastAsia="zh-CN"/>
        </w:rPr>
        <w:t>9</w:t>
      </w:r>
      <w:r>
        <w:rPr>
          <w:rFonts w:hint="eastAsia" w:ascii="仿宋" w:hAnsi="仿宋" w:eastAsia="仿宋" w:cs="Arial"/>
          <w:color w:val="000000"/>
          <w:kern w:val="0"/>
          <w:sz w:val="32"/>
          <w:szCs w:val="32"/>
        </w:rPr>
        <w:t>人次、限制高消费</w:t>
      </w:r>
      <w:r>
        <w:rPr>
          <w:rFonts w:hint="eastAsia" w:ascii="仿宋" w:hAnsi="仿宋" w:eastAsia="仿宋" w:cs="Arial"/>
          <w:color w:val="000000"/>
          <w:kern w:val="0"/>
          <w:sz w:val="32"/>
          <w:szCs w:val="32"/>
          <w:lang w:val="en-US" w:eastAsia="zh-CN"/>
        </w:rPr>
        <w:t>2010</w:t>
      </w:r>
      <w:r>
        <w:rPr>
          <w:rFonts w:hint="eastAsia" w:ascii="仿宋" w:hAnsi="仿宋" w:eastAsia="仿宋" w:cs="Arial"/>
          <w:color w:val="000000"/>
          <w:kern w:val="0"/>
          <w:sz w:val="32"/>
          <w:szCs w:val="32"/>
        </w:rPr>
        <w:t>人、罚款6人次，执行和解</w:t>
      </w:r>
      <w:r>
        <w:rPr>
          <w:rFonts w:hint="eastAsia" w:ascii="仿宋" w:hAnsi="仿宋" w:eastAsia="仿宋" w:cs="Arial"/>
          <w:color w:val="000000"/>
          <w:kern w:val="0"/>
          <w:sz w:val="32"/>
          <w:szCs w:val="32"/>
          <w:lang w:val="en-US" w:eastAsia="zh-CN"/>
        </w:rPr>
        <w:t>400</w:t>
      </w:r>
      <w:r>
        <w:rPr>
          <w:rFonts w:hint="eastAsia" w:ascii="仿宋" w:hAnsi="仿宋" w:eastAsia="仿宋" w:cs="Arial"/>
          <w:color w:val="000000"/>
          <w:kern w:val="0"/>
          <w:sz w:val="32"/>
          <w:szCs w:val="32"/>
        </w:rPr>
        <w:t>件，以拒不执行判决、裁定和非法处置查封、扣押、冻结财产罪判处3件3人。涉民生专项行动4次，</w:t>
      </w:r>
      <w:r>
        <w:rPr>
          <w:rFonts w:hint="eastAsia" w:ascii="仿宋" w:hAnsi="仿宋" w:eastAsia="仿宋" w:cs="Arial"/>
          <w:color w:val="000000"/>
          <w:kern w:val="0"/>
          <w:sz w:val="32"/>
          <w:szCs w:val="32"/>
          <w:lang w:eastAsia="zh-CN"/>
        </w:rPr>
        <w:t>执结</w:t>
      </w:r>
      <w:r>
        <w:rPr>
          <w:rFonts w:hint="eastAsia" w:ascii="仿宋" w:hAnsi="仿宋" w:eastAsia="仿宋" w:cs="Arial"/>
          <w:color w:val="000000"/>
          <w:kern w:val="0"/>
          <w:sz w:val="32"/>
          <w:szCs w:val="32"/>
        </w:rPr>
        <w:t>涉民生案件215件。推进执行模式创新，联合市交警</w:t>
      </w:r>
      <w:r>
        <w:rPr>
          <w:rFonts w:hint="eastAsia" w:ascii="仿宋" w:hAnsi="仿宋" w:eastAsia="仿宋" w:cs="Arial"/>
          <w:color w:val="000000"/>
          <w:kern w:val="0"/>
          <w:sz w:val="32"/>
          <w:szCs w:val="32"/>
          <w:lang w:eastAsia="zh-CN"/>
        </w:rPr>
        <w:t>支</w:t>
      </w:r>
      <w:r>
        <w:rPr>
          <w:rFonts w:hint="eastAsia" w:ascii="仿宋" w:hAnsi="仿宋" w:eastAsia="仿宋" w:cs="Arial"/>
          <w:color w:val="000000"/>
          <w:kern w:val="0"/>
          <w:sz w:val="32"/>
          <w:szCs w:val="32"/>
        </w:rPr>
        <w:t>队，成功扣押车辆36辆，执结案件4</w:t>
      </w:r>
      <w:r>
        <w:rPr>
          <w:rFonts w:hint="eastAsia" w:ascii="仿宋" w:hAnsi="仿宋" w:eastAsia="仿宋" w:cs="Arial"/>
          <w:color w:val="000000"/>
          <w:kern w:val="0"/>
          <w:sz w:val="32"/>
          <w:szCs w:val="32"/>
          <w:lang w:val="en-US" w:eastAsia="zh-CN"/>
        </w:rPr>
        <w:t>8</w:t>
      </w:r>
      <w:r>
        <w:rPr>
          <w:rFonts w:hint="eastAsia" w:ascii="仿宋" w:hAnsi="仿宋" w:eastAsia="仿宋" w:cs="Arial"/>
          <w:color w:val="000000"/>
          <w:kern w:val="0"/>
          <w:sz w:val="32"/>
          <w:szCs w:val="32"/>
        </w:rPr>
        <w:t>件；在区政法委组织下，联合辖区15个相关部门惩戒失信行为，强化执行威慑力；与保险公司签订司法救助协议，引入“执行救助保险”项目，促进了执行工作健康发展。</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3"/>
        <w:jc w:val="left"/>
        <w:textAlignment w:val="auto"/>
        <w:outlineLvl w:val="9"/>
        <w:rPr>
          <w:rFonts w:ascii="Arial" w:hAnsi="Arial" w:eastAsia="宋体" w:cs="Arial"/>
          <w:color w:val="000000"/>
          <w:kern w:val="0"/>
          <w:sz w:val="19"/>
          <w:szCs w:val="19"/>
        </w:rPr>
      </w:pPr>
      <w:r>
        <w:rPr>
          <w:rFonts w:hint="eastAsia" w:ascii="黑体" w:hAnsi="黑体" w:eastAsia="黑体" w:cs="Arial"/>
          <w:b/>
          <w:bCs/>
          <w:color w:val="000000"/>
          <w:kern w:val="0"/>
          <w:sz w:val="32"/>
          <w:szCs w:val="32"/>
        </w:rPr>
        <w:t>二、突出重点工作任务，能动履行服务保障职能</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3"/>
        <w:jc w:val="left"/>
        <w:textAlignment w:val="auto"/>
        <w:outlineLvl w:val="9"/>
        <w:rPr>
          <w:rFonts w:ascii="仿宋" w:hAnsi="仿宋" w:eastAsia="仿宋" w:cs="Arial"/>
          <w:color w:val="000000"/>
          <w:kern w:val="0"/>
          <w:sz w:val="19"/>
          <w:szCs w:val="19"/>
        </w:rPr>
      </w:pPr>
      <w:r>
        <w:rPr>
          <w:rFonts w:hint="eastAsia" w:ascii="楷体" w:hAnsi="楷体" w:eastAsia="楷体" w:cs="Arial"/>
          <w:b/>
          <w:bCs/>
          <w:color w:val="000000"/>
          <w:kern w:val="0"/>
          <w:sz w:val="32"/>
          <w:szCs w:val="32"/>
        </w:rPr>
        <w:t>（一）深入开展扫黑除恶专项斗争。</w:t>
      </w:r>
      <w:r>
        <w:rPr>
          <w:rFonts w:hint="eastAsia" w:ascii="仿宋" w:hAnsi="仿宋" w:eastAsia="仿宋" w:cs="Arial"/>
          <w:color w:val="000000"/>
          <w:kern w:val="0"/>
          <w:sz w:val="32"/>
          <w:szCs w:val="32"/>
        </w:rPr>
        <w:t>紧紧围绕“深挖根治”阶段性目标，坚持“打伞破网”“打财断血”并重，审</w:t>
      </w:r>
      <w:r>
        <w:rPr>
          <w:rFonts w:hint="eastAsia" w:ascii="仿宋" w:hAnsi="仿宋" w:eastAsia="仿宋" w:cs="Arial"/>
          <w:color w:val="000000"/>
          <w:kern w:val="0"/>
          <w:sz w:val="32"/>
          <w:szCs w:val="32"/>
          <w:lang w:eastAsia="zh-CN"/>
        </w:rPr>
        <w:t>理</w:t>
      </w:r>
      <w:r>
        <w:rPr>
          <w:rFonts w:hint="eastAsia" w:ascii="仿宋" w:hAnsi="仿宋" w:eastAsia="仿宋" w:cs="Arial"/>
          <w:color w:val="000000"/>
          <w:kern w:val="0"/>
          <w:sz w:val="32"/>
          <w:szCs w:val="32"/>
        </w:rPr>
        <w:t>涉黑案件2件，已审结1件，另1件正在审理中</w:t>
      </w:r>
      <w:r>
        <w:rPr>
          <w:rFonts w:hint="eastAsia" w:ascii="仿宋" w:hAnsi="仿宋" w:eastAsia="仿宋" w:cs="Arial"/>
          <w:color w:val="000000"/>
          <w:spacing w:val="8"/>
          <w:kern w:val="0"/>
          <w:sz w:val="32"/>
          <w:szCs w:val="32"/>
        </w:rPr>
        <w:t>；</w:t>
      </w:r>
      <w:r>
        <w:rPr>
          <w:rFonts w:hint="eastAsia" w:ascii="仿宋" w:hAnsi="仿宋" w:eastAsia="仿宋" w:cs="Arial"/>
          <w:color w:val="000000"/>
          <w:kern w:val="0"/>
          <w:sz w:val="32"/>
          <w:szCs w:val="32"/>
        </w:rPr>
        <w:t>涉恶案件5件90人，</w:t>
      </w:r>
      <w:r>
        <w:rPr>
          <w:rFonts w:hint="eastAsia" w:ascii="仿宋" w:hAnsi="仿宋" w:eastAsia="仿宋" w:cs="Arial"/>
          <w:color w:val="000000"/>
          <w:spacing w:val="8"/>
          <w:kern w:val="0"/>
          <w:sz w:val="32"/>
          <w:szCs w:val="32"/>
        </w:rPr>
        <w:t>判处五年以上有期徒刑30人</w:t>
      </w:r>
      <w:r>
        <w:rPr>
          <w:rFonts w:hint="eastAsia" w:ascii="仿宋" w:hAnsi="仿宋" w:eastAsia="仿宋" w:cs="Arial"/>
          <w:color w:val="000000"/>
          <w:kern w:val="0"/>
          <w:sz w:val="32"/>
          <w:szCs w:val="32"/>
        </w:rPr>
        <w:t>。</w:t>
      </w:r>
      <w:r>
        <w:rPr>
          <w:rFonts w:hint="eastAsia" w:ascii="仿宋" w:hAnsi="仿宋" w:eastAsia="仿宋" w:cs="Arial"/>
          <w:color w:val="000000"/>
          <w:spacing w:val="8"/>
          <w:kern w:val="0"/>
          <w:sz w:val="32"/>
          <w:szCs w:val="32"/>
        </w:rPr>
        <w:t>摸排涉黑涉恶和“保护伞”线索5条，发送司法建议4</w:t>
      </w:r>
      <w:r>
        <w:rPr>
          <w:rFonts w:hint="eastAsia" w:ascii="仿宋" w:hAnsi="Arial" w:eastAsia="仿宋" w:cs="Arial"/>
          <w:color w:val="000000"/>
          <w:spacing w:val="8"/>
          <w:kern w:val="0"/>
          <w:sz w:val="32"/>
          <w:szCs w:val="32"/>
        </w:rPr>
        <w:t> </w:t>
      </w:r>
      <w:r>
        <w:rPr>
          <w:rFonts w:hint="eastAsia" w:ascii="仿宋" w:hAnsi="仿宋" w:eastAsia="仿宋" w:cs="Arial"/>
          <w:color w:val="000000"/>
          <w:spacing w:val="8"/>
          <w:kern w:val="0"/>
          <w:sz w:val="32"/>
          <w:szCs w:val="32"/>
          <w:lang w:eastAsia="zh-CN"/>
        </w:rPr>
        <w:t>份</w:t>
      </w:r>
      <w:r>
        <w:rPr>
          <w:rFonts w:hint="eastAsia" w:ascii="仿宋" w:hAnsi="仿宋" w:eastAsia="仿宋" w:cs="Arial"/>
          <w:color w:val="000000"/>
          <w:spacing w:val="8"/>
          <w:kern w:val="0"/>
          <w:sz w:val="32"/>
          <w:szCs w:val="32"/>
        </w:rPr>
        <w:t>。</w:t>
      </w:r>
      <w:r>
        <w:rPr>
          <w:rFonts w:hint="eastAsia" w:ascii="仿宋" w:hAnsi="仿宋" w:eastAsia="仿宋" w:cs="Arial"/>
          <w:color w:val="000000"/>
          <w:kern w:val="0"/>
          <w:sz w:val="32"/>
          <w:szCs w:val="32"/>
        </w:rPr>
        <w:t>突出打财断血效果，判决追缴财</w:t>
      </w:r>
      <w:r>
        <w:rPr>
          <w:rFonts w:hint="eastAsia" w:ascii="仿宋" w:hAnsi="仿宋" w:eastAsia="仿宋" w:cs="Arial"/>
          <w:color w:val="000000"/>
          <w:kern w:val="0"/>
          <w:sz w:val="32"/>
          <w:szCs w:val="32"/>
          <w:lang w:eastAsia="zh-CN"/>
        </w:rPr>
        <w:t>产</w:t>
      </w:r>
      <w:r>
        <w:rPr>
          <w:rFonts w:hint="eastAsia" w:ascii="仿宋" w:hAnsi="仿宋" w:eastAsia="仿宋" w:cs="Arial"/>
          <w:color w:val="000000"/>
          <w:kern w:val="0"/>
          <w:sz w:val="32"/>
          <w:szCs w:val="32"/>
          <w:lang w:val="en-US" w:eastAsia="zh-CN"/>
        </w:rPr>
        <w:t>800余</w:t>
      </w:r>
      <w:r>
        <w:rPr>
          <w:rFonts w:hint="eastAsia" w:ascii="仿宋" w:hAnsi="仿宋" w:eastAsia="仿宋" w:cs="Arial"/>
          <w:color w:val="000000"/>
          <w:kern w:val="0"/>
          <w:sz w:val="32"/>
          <w:szCs w:val="32"/>
        </w:rPr>
        <w:t>万元。</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3"/>
        <w:jc w:val="left"/>
        <w:textAlignment w:val="auto"/>
        <w:outlineLvl w:val="9"/>
        <w:rPr>
          <w:rFonts w:ascii="仿宋" w:hAnsi="仿宋" w:eastAsia="仿宋" w:cs="Arial"/>
          <w:color w:val="000000"/>
          <w:kern w:val="0"/>
          <w:sz w:val="19"/>
          <w:szCs w:val="19"/>
        </w:rPr>
      </w:pPr>
      <w:r>
        <w:rPr>
          <w:rFonts w:hint="eastAsia" w:ascii="楷体" w:hAnsi="楷体" w:eastAsia="楷体" w:cs="Arial"/>
          <w:b/>
          <w:bCs/>
          <w:color w:val="000000"/>
          <w:kern w:val="0"/>
          <w:sz w:val="32"/>
          <w:szCs w:val="32"/>
        </w:rPr>
        <w:t>（二）推进涉诉信访防范化解。</w:t>
      </w:r>
      <w:r>
        <w:rPr>
          <w:rFonts w:hint="eastAsia" w:ascii="仿宋" w:hAnsi="仿宋" w:eastAsia="仿宋" w:cs="Arial"/>
          <w:color w:val="000000"/>
          <w:kern w:val="0"/>
          <w:sz w:val="32"/>
          <w:szCs w:val="32"/>
        </w:rPr>
        <w:t>牢固树立全区信访工作“一盘棋”理念，落实领导责任，优化工作机制，强力推进信访维稳工作。在全国“两会”、新中国成立70周年庆典及十九届四中全会期间，实现进京</w:t>
      </w:r>
      <w:r>
        <w:rPr>
          <w:rFonts w:hint="eastAsia" w:ascii="仿宋" w:hAnsi="仿宋" w:eastAsia="仿宋" w:cs="Arial"/>
          <w:color w:val="000000"/>
          <w:kern w:val="0"/>
          <w:sz w:val="32"/>
          <w:szCs w:val="32"/>
          <w:lang w:eastAsia="zh-CN"/>
        </w:rPr>
        <w:t>去沈</w:t>
      </w:r>
      <w:r>
        <w:rPr>
          <w:rFonts w:hint="eastAsia" w:ascii="仿宋" w:hAnsi="仿宋" w:eastAsia="仿宋" w:cs="Arial"/>
          <w:color w:val="000000"/>
          <w:kern w:val="0"/>
          <w:sz w:val="32"/>
          <w:szCs w:val="32"/>
        </w:rPr>
        <w:t>“零非访”。全年共登记涉诉涉执信访案件89件，化解81件，化解</w:t>
      </w:r>
      <w:r>
        <w:rPr>
          <w:rFonts w:hint="eastAsia" w:ascii="仿宋" w:hAnsi="仿宋" w:eastAsia="仿宋" w:cs="Arial"/>
          <w:color w:val="000000"/>
          <w:kern w:val="0"/>
          <w:sz w:val="32"/>
          <w:szCs w:val="32"/>
          <w:lang w:eastAsia="zh-CN"/>
        </w:rPr>
        <w:t>率</w:t>
      </w:r>
      <w:r>
        <w:rPr>
          <w:rFonts w:hint="eastAsia" w:ascii="仿宋" w:hAnsi="仿宋" w:eastAsia="仿宋" w:cs="Arial"/>
          <w:color w:val="000000"/>
          <w:kern w:val="0"/>
          <w:sz w:val="32"/>
          <w:szCs w:val="32"/>
        </w:rPr>
        <w:t>91%，接待来信来访300余人次。</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3"/>
        <w:jc w:val="left"/>
        <w:textAlignment w:val="auto"/>
        <w:outlineLvl w:val="9"/>
        <w:rPr>
          <w:rFonts w:ascii="仿宋" w:hAnsi="仿宋" w:eastAsia="仿宋" w:cs="Arial"/>
          <w:color w:val="000000"/>
          <w:kern w:val="0"/>
          <w:sz w:val="19"/>
          <w:szCs w:val="19"/>
        </w:rPr>
      </w:pPr>
      <w:r>
        <w:rPr>
          <w:rFonts w:hint="eastAsia" w:ascii="楷体" w:hAnsi="楷体" w:eastAsia="楷体" w:cs="Arial"/>
          <w:b/>
          <w:bCs/>
          <w:color w:val="000000"/>
          <w:kern w:val="0"/>
          <w:sz w:val="32"/>
          <w:szCs w:val="32"/>
        </w:rPr>
        <w:t>（三）不断优化法治营商环境。</w:t>
      </w:r>
      <w:r>
        <w:rPr>
          <w:rFonts w:hint="eastAsia" w:ascii="仿宋" w:hAnsi="仿宋" w:eastAsia="仿宋" w:cs="Arial"/>
          <w:color w:val="000000"/>
          <w:kern w:val="0"/>
          <w:sz w:val="32"/>
          <w:szCs w:val="32"/>
        </w:rPr>
        <w:t>坚持平等保护原则，大力倡导“谦抑审慎善意”司法理念，完善法治营商环境评价指标体系，注重保护企业合法权益。落实“三抓”任务，开展“法官进企业”主题实践活动，通过走访、调研、法律讲座、法律培训，为</w:t>
      </w:r>
      <w:r>
        <w:rPr>
          <w:rFonts w:hint="eastAsia" w:ascii="仿宋" w:hAnsi="仿宋" w:eastAsia="仿宋" w:cs="Arial"/>
          <w:color w:val="000000"/>
          <w:kern w:val="0"/>
          <w:sz w:val="32"/>
          <w:szCs w:val="32"/>
          <w:lang w:eastAsia="zh-CN"/>
        </w:rPr>
        <w:t>辖区</w:t>
      </w:r>
      <w:r>
        <w:rPr>
          <w:rFonts w:hint="eastAsia" w:ascii="仿宋" w:hAnsi="仿宋" w:eastAsia="仿宋" w:cs="Arial"/>
          <w:color w:val="000000"/>
          <w:kern w:val="0"/>
          <w:sz w:val="32"/>
          <w:szCs w:val="32"/>
        </w:rPr>
        <w:t>企业提供个性化服务，注重保护民营企业家及民营企业合法权益，助推实体经济健康发展。</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3"/>
        <w:jc w:val="left"/>
        <w:textAlignment w:val="auto"/>
        <w:outlineLvl w:val="9"/>
        <w:rPr>
          <w:rFonts w:ascii="仿宋" w:hAnsi="仿宋" w:eastAsia="仿宋" w:cs="Arial"/>
          <w:color w:val="000000"/>
          <w:kern w:val="0"/>
          <w:sz w:val="19"/>
          <w:szCs w:val="19"/>
        </w:rPr>
      </w:pPr>
      <w:r>
        <w:rPr>
          <w:rFonts w:hint="eastAsia" w:ascii="楷体" w:hAnsi="楷体" w:eastAsia="楷体" w:cs="Arial"/>
          <w:b/>
          <w:bCs/>
          <w:color w:val="000000"/>
          <w:kern w:val="0"/>
          <w:sz w:val="32"/>
          <w:szCs w:val="32"/>
        </w:rPr>
        <w:t>（四）依法助力打好“三大攻坚战”。</w:t>
      </w:r>
      <w:r>
        <w:rPr>
          <w:rFonts w:hint="eastAsia" w:ascii="仿宋" w:hAnsi="仿宋" w:eastAsia="仿宋" w:cs="仿宋"/>
          <w:b w:val="0"/>
          <w:bCs w:val="0"/>
          <w:color w:val="000000"/>
          <w:kern w:val="0"/>
          <w:sz w:val="32"/>
          <w:szCs w:val="32"/>
          <w:lang w:eastAsia="zh-CN"/>
        </w:rPr>
        <w:t>妥善审理民间借贷、金融借款纠纷案件，</w:t>
      </w:r>
      <w:r>
        <w:rPr>
          <w:rFonts w:hint="eastAsia" w:ascii="仿宋" w:hAnsi="仿宋" w:eastAsia="仿宋" w:cs="Arial"/>
          <w:color w:val="000000"/>
          <w:kern w:val="0"/>
          <w:sz w:val="32"/>
          <w:szCs w:val="32"/>
        </w:rPr>
        <w:t>助力防范系统性金融风险，营造公平竞争、诚实守信发展环境。认真落实“精准扶贫”任务，对贫困户建档立卡，实行一户一策，现8户贫困户已全部脱贫。聚焦绿色发展目标，成立专业化合议庭，精心审理环境资源案件61件，依法严惩破坏环境资源犯罪，为建设“美丽吉林”提供有力司法保障。</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3"/>
        <w:jc w:val="left"/>
        <w:textAlignment w:val="auto"/>
        <w:outlineLvl w:val="9"/>
        <w:rPr>
          <w:rFonts w:ascii="Arial" w:hAnsi="Arial" w:eastAsia="宋体" w:cs="Arial"/>
          <w:color w:val="000000"/>
          <w:kern w:val="0"/>
          <w:sz w:val="19"/>
          <w:szCs w:val="19"/>
        </w:rPr>
      </w:pPr>
      <w:r>
        <w:rPr>
          <w:rFonts w:hint="eastAsia" w:ascii="黑体" w:hAnsi="黑体" w:eastAsia="黑体" w:cs="Arial"/>
          <w:b/>
          <w:bCs/>
          <w:color w:val="000000"/>
          <w:kern w:val="0"/>
          <w:sz w:val="32"/>
          <w:szCs w:val="32"/>
        </w:rPr>
        <w:t>三、推进改革创新，切实增强人民群众获得感</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3"/>
        <w:jc w:val="left"/>
        <w:textAlignment w:val="auto"/>
        <w:outlineLvl w:val="9"/>
        <w:rPr>
          <w:rFonts w:ascii="Arial" w:hAnsi="Arial" w:eastAsia="宋体" w:cs="Arial"/>
          <w:color w:val="000000"/>
          <w:kern w:val="0"/>
          <w:sz w:val="19"/>
          <w:szCs w:val="19"/>
        </w:rPr>
      </w:pPr>
      <w:r>
        <w:rPr>
          <w:rFonts w:hint="eastAsia" w:ascii="楷体" w:hAnsi="楷体" w:eastAsia="楷体" w:cs="Arial"/>
          <w:b/>
          <w:bCs/>
          <w:color w:val="000000"/>
          <w:kern w:val="0"/>
          <w:sz w:val="32"/>
          <w:szCs w:val="32"/>
        </w:rPr>
        <w:t>（一）深入落实司法责任制。</w:t>
      </w:r>
      <w:r>
        <w:rPr>
          <w:rFonts w:hint="eastAsia" w:ascii="仿宋" w:hAnsi="仿宋" w:eastAsia="仿宋" w:cs="Arial"/>
          <w:color w:val="000000"/>
          <w:kern w:val="0"/>
          <w:sz w:val="32"/>
          <w:szCs w:val="32"/>
        </w:rPr>
        <w:t>坚持“让审理者裁判，由裁判者负责”，全面建立新型审判权力运行机制，强化院庭长对“四类案件”的监督，推进院庭长办案常态化，全年召开专业法官会议5</w:t>
      </w:r>
      <w:r>
        <w:rPr>
          <w:rFonts w:hint="eastAsia" w:ascii="仿宋" w:hAnsi="仿宋" w:eastAsia="仿宋" w:cs="Arial"/>
          <w:color w:val="000000"/>
          <w:kern w:val="0"/>
          <w:sz w:val="32"/>
          <w:szCs w:val="32"/>
          <w:lang w:val="en-US" w:eastAsia="zh-CN"/>
        </w:rPr>
        <w:t>7</w:t>
      </w:r>
      <w:r>
        <w:rPr>
          <w:rFonts w:hint="eastAsia" w:ascii="仿宋" w:hAnsi="仿宋" w:eastAsia="仿宋" w:cs="Arial"/>
          <w:color w:val="000000"/>
          <w:kern w:val="0"/>
          <w:sz w:val="32"/>
          <w:szCs w:val="32"/>
        </w:rPr>
        <w:t>次。优化审判团队功能，建立道交一体化、速审、涉农、扫黑除恶等专业化团队，持续提升审判专业化水平。强化审判行为监管，评查案件</w:t>
      </w:r>
      <w:r>
        <w:rPr>
          <w:rFonts w:hint="eastAsia" w:ascii="仿宋" w:hAnsi="仿宋" w:eastAsia="仿宋" w:cs="Arial"/>
          <w:color w:val="0C0C0C"/>
          <w:kern w:val="0"/>
          <w:sz w:val="32"/>
          <w:szCs w:val="32"/>
          <w:lang w:val="en-US" w:eastAsia="zh-CN"/>
        </w:rPr>
        <w:t>189</w:t>
      </w:r>
      <w:r>
        <w:rPr>
          <w:rFonts w:hint="eastAsia" w:ascii="仿宋" w:hAnsi="仿宋" w:eastAsia="仿宋" w:cs="Arial"/>
          <w:color w:val="0C0C0C"/>
          <w:kern w:val="0"/>
          <w:sz w:val="32"/>
          <w:szCs w:val="32"/>
        </w:rPr>
        <w:t>件</w:t>
      </w:r>
      <w:r>
        <w:rPr>
          <w:rFonts w:hint="eastAsia" w:ascii="仿宋" w:hAnsi="仿宋" w:eastAsia="仿宋" w:cs="Arial"/>
          <w:color w:val="0C0C0C"/>
          <w:kern w:val="0"/>
          <w:sz w:val="32"/>
          <w:szCs w:val="32"/>
          <w:lang w:eastAsia="zh-CN"/>
        </w:rPr>
        <w:t>，</w:t>
      </w:r>
      <w:r>
        <w:rPr>
          <w:rFonts w:hint="eastAsia" w:ascii="仿宋" w:hAnsi="仿宋" w:eastAsia="仿宋" w:cs="Arial"/>
          <w:color w:val="000000"/>
          <w:kern w:val="0"/>
          <w:sz w:val="32"/>
          <w:szCs w:val="32"/>
        </w:rPr>
        <w:t>倒逼案件质量提升。</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3"/>
        <w:jc w:val="left"/>
        <w:textAlignment w:val="auto"/>
        <w:outlineLvl w:val="9"/>
        <w:rPr>
          <w:rFonts w:hint="eastAsia" w:ascii="仿宋" w:hAnsi="仿宋" w:eastAsia="仿宋" w:cs="Arial"/>
          <w:color w:val="000000"/>
          <w:kern w:val="0"/>
          <w:sz w:val="32"/>
          <w:szCs w:val="32"/>
        </w:rPr>
      </w:pPr>
      <w:r>
        <w:rPr>
          <w:rFonts w:hint="eastAsia" w:ascii="楷体" w:hAnsi="楷体" w:eastAsia="楷体" w:cs="Arial"/>
          <w:b/>
          <w:bCs/>
          <w:color w:val="000000"/>
          <w:kern w:val="0"/>
          <w:sz w:val="32"/>
          <w:szCs w:val="32"/>
        </w:rPr>
        <w:t>（二）深化诉讼服务改革。</w:t>
      </w:r>
      <w:r>
        <w:rPr>
          <w:rFonts w:hint="eastAsia" w:ascii="仿宋" w:hAnsi="仿宋" w:eastAsia="仿宋" w:cs="Arial"/>
          <w:color w:val="000000"/>
          <w:kern w:val="0"/>
          <w:sz w:val="32"/>
          <w:szCs w:val="32"/>
        </w:rPr>
        <w:t>积极践行“司法为民”理念，全方位推动“两个一站式”建设，在各诉讼环节开设绿色通道，推进特约调解员、律师</w:t>
      </w:r>
      <w:r>
        <w:rPr>
          <w:rFonts w:hint="eastAsia" w:ascii="仿宋" w:hAnsi="仿宋" w:eastAsia="仿宋" w:cs="Arial"/>
          <w:color w:val="000000"/>
          <w:kern w:val="0"/>
          <w:sz w:val="32"/>
          <w:szCs w:val="32"/>
          <w:lang w:eastAsia="zh-CN"/>
        </w:rPr>
        <w:t>代理</w:t>
      </w:r>
      <w:r>
        <w:rPr>
          <w:rFonts w:hint="eastAsia" w:ascii="仿宋" w:hAnsi="仿宋" w:eastAsia="仿宋" w:cs="Arial"/>
          <w:color w:val="000000"/>
          <w:kern w:val="0"/>
          <w:sz w:val="32"/>
          <w:szCs w:val="32"/>
        </w:rPr>
        <w:t>申诉等机制，降低群众依法维权成本。实行民商事案件繁简分流，积极适用小额诉讼、简易程序和速裁程序，大力推进“分调裁审”机制，全年诉前调解案</w:t>
      </w:r>
      <w:r>
        <w:rPr>
          <w:rFonts w:hint="eastAsia" w:ascii="仿宋" w:hAnsi="仿宋" w:eastAsia="仿宋" w:cs="Arial"/>
          <w:color w:val="000000"/>
          <w:kern w:val="0"/>
          <w:sz w:val="32"/>
          <w:szCs w:val="32"/>
          <w:lang w:eastAsia="zh-CN"/>
        </w:rPr>
        <w:t>件</w:t>
      </w:r>
      <w:r>
        <w:rPr>
          <w:rFonts w:hint="eastAsia" w:ascii="仿宋" w:hAnsi="仿宋" w:eastAsia="仿宋" w:cs="Arial"/>
          <w:color w:val="000000"/>
          <w:kern w:val="0"/>
          <w:sz w:val="32"/>
          <w:szCs w:val="32"/>
          <w:lang w:val="en-US" w:eastAsia="zh-CN"/>
        </w:rPr>
        <w:t>3149</w:t>
      </w:r>
      <w:r>
        <w:rPr>
          <w:rFonts w:hint="eastAsia" w:ascii="仿宋" w:hAnsi="仿宋" w:eastAsia="仿宋" w:cs="Arial"/>
          <w:color w:val="000000"/>
          <w:kern w:val="0"/>
          <w:sz w:val="32"/>
          <w:szCs w:val="32"/>
        </w:rPr>
        <w:t>件，调解成功1</w:t>
      </w:r>
      <w:r>
        <w:rPr>
          <w:rFonts w:hint="eastAsia" w:ascii="仿宋" w:hAnsi="仿宋" w:eastAsia="仿宋" w:cs="Arial"/>
          <w:color w:val="000000"/>
          <w:kern w:val="0"/>
          <w:sz w:val="32"/>
          <w:szCs w:val="32"/>
          <w:lang w:val="en-US" w:eastAsia="zh-CN"/>
        </w:rPr>
        <w:t>740</w:t>
      </w:r>
      <w:r>
        <w:rPr>
          <w:rFonts w:hint="eastAsia" w:ascii="仿宋" w:hAnsi="仿宋" w:eastAsia="仿宋" w:cs="Arial"/>
          <w:color w:val="000000"/>
          <w:kern w:val="0"/>
          <w:sz w:val="32"/>
          <w:szCs w:val="32"/>
        </w:rPr>
        <w:t>件，调解成功率达</w:t>
      </w:r>
      <w:r>
        <w:rPr>
          <w:rFonts w:hint="eastAsia" w:ascii="仿宋_GB2312" w:hAnsi="宋体" w:eastAsia="仿宋_GB2312" w:cs="宋体"/>
          <w:color w:val="000000"/>
          <w:kern w:val="0"/>
          <w:sz w:val="32"/>
          <w:szCs w:val="32"/>
          <w:lang w:val="en-US" w:eastAsia="zh-CN"/>
        </w:rPr>
        <w:t>55.26</w:t>
      </w:r>
      <w:r>
        <w:rPr>
          <w:rFonts w:hint="eastAsia" w:ascii="仿宋_GB2312" w:hAnsi="楷体" w:eastAsia="仿宋_GB2312" w:cs="Arial"/>
          <w:color w:val="000000"/>
          <w:kern w:val="0"/>
          <w:sz w:val="32"/>
          <w:szCs w:val="32"/>
        </w:rPr>
        <w:t>%</w:t>
      </w:r>
      <w:r>
        <w:rPr>
          <w:rFonts w:hint="eastAsia" w:ascii="仿宋" w:hAnsi="仿宋" w:eastAsia="仿宋" w:cs="Arial"/>
          <w:color w:val="000000"/>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3"/>
        <w:jc w:val="left"/>
        <w:textAlignment w:val="auto"/>
        <w:outlineLvl w:val="9"/>
        <w:rPr>
          <w:rFonts w:ascii="仿宋" w:hAnsi="仿宋" w:eastAsia="仿宋" w:cs="Arial"/>
          <w:color w:val="000000"/>
          <w:kern w:val="0"/>
          <w:sz w:val="19"/>
          <w:szCs w:val="19"/>
        </w:rPr>
      </w:pPr>
      <w:r>
        <w:rPr>
          <w:rFonts w:hint="eastAsia" w:ascii="楷体" w:hAnsi="楷体" w:eastAsia="楷体" w:cs="Arial"/>
          <w:b/>
          <w:bCs/>
          <w:color w:val="000000"/>
          <w:kern w:val="0"/>
          <w:sz w:val="32"/>
          <w:szCs w:val="32"/>
        </w:rPr>
        <w:t>（三）巩固智慧法院应用成果</w:t>
      </w:r>
      <w:r>
        <w:rPr>
          <w:rFonts w:hint="eastAsia" w:ascii="楷体" w:hAnsi="楷体" w:eastAsia="楷体" w:cs="Arial"/>
          <w:color w:val="000000"/>
          <w:kern w:val="0"/>
          <w:sz w:val="32"/>
          <w:szCs w:val="32"/>
        </w:rPr>
        <w:t>。</w:t>
      </w:r>
      <w:r>
        <w:rPr>
          <w:rFonts w:hint="eastAsia" w:ascii="仿宋" w:hAnsi="仿宋" w:eastAsia="仿宋" w:cs="Arial"/>
          <w:color w:val="000000"/>
          <w:kern w:val="0"/>
          <w:sz w:val="32"/>
          <w:szCs w:val="32"/>
        </w:rPr>
        <w:t>以全面实现智能辅助全流程网上办案为核心，加快智慧法院建设与启用工作</w:t>
      </w:r>
      <w:r>
        <w:rPr>
          <w:rFonts w:hint="eastAsia" w:ascii="仿宋" w:hAnsi="仿宋" w:eastAsia="仿宋" w:cs="Arial"/>
          <w:color w:val="000000"/>
          <w:kern w:val="0"/>
          <w:sz w:val="32"/>
          <w:szCs w:val="32"/>
          <w:lang w:eastAsia="zh-CN"/>
        </w:rPr>
        <w:t>，升级</w:t>
      </w:r>
      <w:r>
        <w:rPr>
          <w:rFonts w:hint="eastAsia" w:ascii="仿宋" w:hAnsi="仿宋" w:eastAsia="仿宋" w:cs="Arial"/>
          <w:color w:val="000000"/>
          <w:kern w:val="0"/>
          <w:sz w:val="32"/>
          <w:szCs w:val="32"/>
          <w:lang w:val="en-US" w:eastAsia="zh-CN"/>
        </w:rPr>
        <w:t>3个科技法庭为</w:t>
      </w:r>
      <w:r>
        <w:rPr>
          <w:rFonts w:hint="eastAsia" w:ascii="仿宋" w:hAnsi="仿宋" w:eastAsia="仿宋" w:cs="Arial"/>
          <w:color w:val="000000"/>
          <w:kern w:val="0"/>
          <w:sz w:val="32"/>
          <w:szCs w:val="32"/>
          <w:lang w:eastAsia="zh-CN"/>
        </w:rPr>
        <w:t>智慧法庭</w:t>
      </w:r>
      <w:r>
        <w:rPr>
          <w:rFonts w:hint="eastAsia" w:ascii="仿宋" w:hAnsi="仿宋" w:eastAsia="仿宋" w:cs="Arial"/>
          <w:color w:val="000000"/>
          <w:kern w:val="0"/>
          <w:sz w:val="32"/>
          <w:szCs w:val="32"/>
          <w:lang w:val="en-US" w:eastAsia="zh-CN"/>
        </w:rPr>
        <w:t>，新建1个智能合议室，实现庭审现场语音同步转换文字，提高工作效率</w:t>
      </w:r>
      <w:r>
        <w:rPr>
          <w:rFonts w:hint="eastAsia" w:ascii="仿宋" w:hAnsi="仿宋" w:eastAsia="仿宋" w:cs="Arial"/>
          <w:color w:val="000000"/>
          <w:kern w:val="0"/>
          <w:sz w:val="32"/>
          <w:szCs w:val="32"/>
        </w:rPr>
        <w:t>。电子卷宗随案同步生成率、文书辅助生成应用比、电子卷宗自动归档投入应用比</w:t>
      </w:r>
      <w:r>
        <w:rPr>
          <w:rFonts w:hint="eastAsia" w:ascii="仿宋" w:hAnsi="仿宋" w:eastAsia="仿宋" w:cs="Arial"/>
          <w:color w:val="000000"/>
          <w:kern w:val="0"/>
          <w:sz w:val="32"/>
          <w:szCs w:val="32"/>
          <w:lang w:eastAsia="zh-CN"/>
        </w:rPr>
        <w:t>、</w:t>
      </w:r>
      <w:r>
        <w:rPr>
          <w:rFonts w:hint="eastAsia" w:ascii="仿宋" w:hAnsi="仿宋" w:eastAsia="仿宋" w:cs="Arial"/>
          <w:color w:val="000000"/>
          <w:kern w:val="0"/>
          <w:sz w:val="32"/>
          <w:szCs w:val="32"/>
        </w:rPr>
        <w:t>网上立案率</w:t>
      </w:r>
      <w:r>
        <w:rPr>
          <w:rFonts w:hint="eastAsia" w:ascii="仿宋" w:hAnsi="仿宋" w:eastAsia="仿宋" w:cs="Arial"/>
          <w:color w:val="000000"/>
          <w:kern w:val="0"/>
          <w:sz w:val="32"/>
          <w:szCs w:val="32"/>
          <w:lang w:eastAsia="zh-CN"/>
        </w:rPr>
        <w:t>、</w:t>
      </w:r>
      <w:r>
        <w:rPr>
          <w:rFonts w:hint="eastAsia" w:ascii="仿宋" w:hAnsi="仿宋" w:eastAsia="仿宋" w:cs="Arial"/>
          <w:color w:val="000000"/>
          <w:kern w:val="0"/>
          <w:sz w:val="32"/>
          <w:szCs w:val="32"/>
        </w:rPr>
        <w:t>审判流程信息公开率均达到100%，司法公开网更新静态信息660条，上传公开文书6</w:t>
      </w:r>
      <w:r>
        <w:rPr>
          <w:rFonts w:hint="eastAsia" w:ascii="仿宋" w:hAnsi="仿宋" w:eastAsia="仿宋" w:cs="Arial"/>
          <w:color w:val="000000"/>
          <w:kern w:val="0"/>
          <w:sz w:val="32"/>
          <w:szCs w:val="32"/>
          <w:lang w:val="en-US" w:eastAsia="zh-CN"/>
        </w:rPr>
        <w:t>923</w:t>
      </w:r>
      <w:r>
        <w:rPr>
          <w:rFonts w:hint="eastAsia" w:ascii="仿宋" w:hAnsi="仿宋" w:eastAsia="仿宋" w:cs="Arial"/>
          <w:color w:val="000000"/>
          <w:kern w:val="0"/>
          <w:sz w:val="32"/>
          <w:szCs w:val="32"/>
        </w:rPr>
        <w:t>件，公开信息</w:t>
      </w:r>
      <w:r>
        <w:rPr>
          <w:rFonts w:hint="eastAsia" w:ascii="仿宋" w:hAnsi="仿宋" w:eastAsia="仿宋" w:cs="Arial"/>
          <w:color w:val="000000"/>
          <w:kern w:val="0"/>
          <w:sz w:val="32"/>
          <w:szCs w:val="32"/>
          <w:lang w:val="en-US" w:eastAsia="zh-CN"/>
        </w:rPr>
        <w:t>831</w:t>
      </w:r>
      <w:r>
        <w:rPr>
          <w:rFonts w:hint="eastAsia" w:ascii="仿宋" w:hAnsi="仿宋" w:eastAsia="仿宋" w:cs="Arial"/>
          <w:color w:val="000000"/>
          <w:kern w:val="0"/>
          <w:sz w:val="32"/>
          <w:szCs w:val="32"/>
        </w:rPr>
        <w:t>件。</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3"/>
        <w:jc w:val="left"/>
        <w:textAlignment w:val="auto"/>
        <w:outlineLvl w:val="9"/>
        <w:rPr>
          <w:rFonts w:ascii="Arial" w:hAnsi="Arial" w:eastAsia="宋体" w:cs="Arial"/>
          <w:color w:val="000000"/>
          <w:kern w:val="0"/>
          <w:sz w:val="19"/>
          <w:szCs w:val="19"/>
        </w:rPr>
      </w:pPr>
      <w:r>
        <w:rPr>
          <w:rFonts w:hint="eastAsia" w:ascii="黑体" w:hAnsi="黑体" w:eastAsia="黑体" w:cs="Arial"/>
          <w:b/>
          <w:bCs/>
          <w:color w:val="000000"/>
          <w:kern w:val="0"/>
          <w:sz w:val="32"/>
          <w:szCs w:val="32"/>
        </w:rPr>
        <w:t>四、从严治党治院，</w:t>
      </w:r>
      <w:r>
        <w:rPr>
          <w:rFonts w:hint="eastAsia" w:ascii="黑体" w:hAnsi="黑体" w:eastAsia="黑体" w:cs="Arial"/>
          <w:b/>
          <w:bCs/>
          <w:color w:val="000000"/>
          <w:kern w:val="0"/>
          <w:sz w:val="32"/>
          <w:szCs w:val="32"/>
          <w:lang w:eastAsia="zh-CN"/>
        </w:rPr>
        <w:t>努力</w:t>
      </w:r>
      <w:bookmarkStart w:id="0" w:name="_GoBack"/>
      <w:bookmarkEnd w:id="0"/>
      <w:r>
        <w:rPr>
          <w:rFonts w:hint="eastAsia" w:ascii="黑体" w:hAnsi="黑体" w:eastAsia="黑体" w:cs="Arial"/>
          <w:b/>
          <w:bCs/>
          <w:color w:val="000000"/>
          <w:kern w:val="0"/>
          <w:sz w:val="32"/>
          <w:szCs w:val="32"/>
        </w:rPr>
        <w:t>打造过硬干部队伍</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3"/>
        <w:jc w:val="left"/>
        <w:textAlignment w:val="auto"/>
        <w:outlineLvl w:val="9"/>
        <w:rPr>
          <w:rFonts w:ascii="Arial" w:hAnsi="Arial" w:eastAsia="宋体" w:cs="Arial"/>
          <w:color w:val="000000"/>
          <w:kern w:val="0"/>
          <w:sz w:val="19"/>
          <w:szCs w:val="19"/>
        </w:rPr>
      </w:pPr>
      <w:r>
        <w:rPr>
          <w:rFonts w:hint="eastAsia" w:ascii="楷体" w:hAnsi="楷体" w:eastAsia="楷体" w:cs="Arial"/>
          <w:b/>
          <w:bCs/>
          <w:color w:val="000000"/>
          <w:kern w:val="0"/>
          <w:sz w:val="32"/>
          <w:szCs w:val="32"/>
        </w:rPr>
        <w:t>（一）搭建政治建院基础平台。</w:t>
      </w:r>
      <w:r>
        <w:rPr>
          <w:rFonts w:hint="eastAsia" w:ascii="仿宋" w:hAnsi="仿宋" w:eastAsia="仿宋" w:cs="Arial"/>
          <w:color w:val="000000"/>
          <w:kern w:val="0"/>
          <w:sz w:val="32"/>
          <w:szCs w:val="32"/>
        </w:rPr>
        <w:t>认真开展“不忘初心、牢记使命”主题教育</w:t>
      </w:r>
      <w:r>
        <w:rPr>
          <w:rFonts w:hint="eastAsia" w:ascii="仿宋" w:hAnsi="仿宋" w:eastAsia="仿宋" w:cs="Arial"/>
          <w:color w:val="000000"/>
          <w:kern w:val="0"/>
          <w:sz w:val="32"/>
          <w:szCs w:val="32"/>
          <w:lang w:eastAsia="zh-CN"/>
        </w:rPr>
        <w:t>、</w:t>
      </w:r>
      <w:r>
        <w:rPr>
          <w:rFonts w:hint="eastAsia" w:ascii="仿宋" w:hAnsi="仿宋" w:eastAsia="仿宋" w:cs="Arial"/>
          <w:color w:val="000000"/>
          <w:kern w:val="0"/>
          <w:sz w:val="32"/>
          <w:szCs w:val="32"/>
        </w:rPr>
        <w:t>“加强管理年”及“规范司法行为、转变司法作风”等活动，</w:t>
      </w:r>
      <w:r>
        <w:rPr>
          <w:rFonts w:hint="eastAsia" w:ascii="仿宋" w:hAnsi="仿宋" w:eastAsia="仿宋" w:cs="Arial"/>
          <w:color w:val="242424"/>
          <w:kern w:val="0"/>
          <w:sz w:val="32"/>
          <w:szCs w:val="32"/>
        </w:rPr>
        <w:t>设立</w:t>
      </w:r>
      <w:r>
        <w:rPr>
          <w:rFonts w:hint="eastAsia" w:ascii="仿宋" w:hAnsi="仿宋" w:eastAsia="仿宋" w:cs="Arial"/>
          <w:color w:val="auto"/>
          <w:kern w:val="0"/>
          <w:sz w:val="32"/>
          <w:szCs w:val="32"/>
        </w:rPr>
        <w:t>“党员先锋岗”和“党员示范区”，广泛开展谈心活动，充分利用“新时代e支部</w:t>
      </w:r>
      <w:r>
        <w:rPr>
          <w:rFonts w:hint="eastAsia" w:ascii="仿宋" w:hAnsi="仿宋" w:eastAsia="仿宋" w:cs="Arial"/>
          <w:color w:val="242424"/>
          <w:kern w:val="0"/>
          <w:sz w:val="32"/>
          <w:szCs w:val="32"/>
        </w:rPr>
        <w:t>”</w:t>
      </w:r>
      <w:r>
        <w:rPr>
          <w:rFonts w:hint="eastAsia" w:ascii="仿宋" w:hAnsi="仿宋" w:eastAsia="仿宋" w:cs="Arial"/>
          <w:color w:val="000000"/>
          <w:kern w:val="0"/>
          <w:sz w:val="32"/>
          <w:szCs w:val="32"/>
        </w:rPr>
        <w:t>“学习强国”等APP</w:t>
      </w:r>
      <w:r>
        <w:rPr>
          <w:rFonts w:hint="eastAsia" w:ascii="仿宋" w:hAnsi="仿宋" w:eastAsia="仿宋" w:cs="Arial"/>
          <w:color w:val="242424"/>
          <w:kern w:val="0"/>
          <w:sz w:val="32"/>
          <w:szCs w:val="32"/>
        </w:rPr>
        <w:t>，引导法官干警</w:t>
      </w:r>
      <w:r>
        <w:rPr>
          <w:rFonts w:hint="eastAsia" w:ascii="仿宋" w:hAnsi="仿宋" w:eastAsia="仿宋" w:cs="Arial"/>
          <w:color w:val="000000"/>
          <w:kern w:val="0"/>
          <w:sz w:val="32"/>
          <w:szCs w:val="32"/>
        </w:rPr>
        <w:t>牢固树立“四个意识”、增强“四个自信”、做到“两个维护”</w:t>
      </w:r>
      <w:r>
        <w:rPr>
          <w:rFonts w:hint="eastAsia" w:ascii="仿宋" w:hAnsi="仿宋" w:eastAsia="仿宋" w:cs="Arial"/>
          <w:color w:val="242424"/>
          <w:kern w:val="0"/>
          <w:sz w:val="32"/>
          <w:szCs w:val="32"/>
        </w:rPr>
        <w:t>。</w:t>
      </w:r>
      <w:r>
        <w:rPr>
          <w:rFonts w:hint="eastAsia" w:ascii="仿宋" w:hAnsi="仿宋" w:eastAsia="仿宋" w:cs="Arial"/>
          <w:color w:val="000000"/>
          <w:kern w:val="0"/>
          <w:sz w:val="32"/>
          <w:szCs w:val="32"/>
          <w:lang w:eastAsia="zh-CN"/>
        </w:rPr>
        <w:t>全年</w:t>
      </w:r>
      <w:r>
        <w:rPr>
          <w:rFonts w:hint="eastAsia" w:ascii="仿宋" w:hAnsi="仿宋" w:eastAsia="仿宋" w:cs="Arial"/>
          <w:color w:val="000000"/>
          <w:kern w:val="0"/>
          <w:sz w:val="32"/>
          <w:szCs w:val="32"/>
        </w:rPr>
        <w:t>开展普法“六走进”活动7次</w:t>
      </w:r>
      <w:r>
        <w:rPr>
          <w:rFonts w:hint="eastAsia" w:ascii="仿宋" w:hAnsi="仿宋" w:eastAsia="仿宋" w:cs="Arial"/>
          <w:color w:val="000000"/>
          <w:kern w:val="0"/>
          <w:sz w:val="32"/>
          <w:szCs w:val="32"/>
          <w:lang w:eastAsia="zh-CN"/>
        </w:rPr>
        <w:t>，</w:t>
      </w:r>
      <w:r>
        <w:rPr>
          <w:rFonts w:hint="eastAsia" w:ascii="仿宋" w:hAnsi="仿宋" w:eastAsia="仿宋" w:cs="Arial"/>
          <w:color w:val="000000"/>
          <w:kern w:val="0"/>
          <w:sz w:val="32"/>
          <w:szCs w:val="32"/>
        </w:rPr>
        <w:t>向区委、上级法院报送信息180余篇，被市级以上媒体采用160余篇次，立体展示了法官干警时代风采。</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jc w:val="left"/>
        <w:textAlignment w:val="auto"/>
        <w:outlineLvl w:val="9"/>
        <w:rPr>
          <w:rFonts w:ascii="仿宋" w:hAnsi="仿宋" w:eastAsia="仿宋" w:cs="Arial"/>
          <w:color w:val="000000"/>
          <w:kern w:val="0"/>
          <w:sz w:val="19"/>
          <w:szCs w:val="19"/>
        </w:rPr>
      </w:pPr>
      <w:r>
        <w:rPr>
          <w:rFonts w:hint="eastAsia" w:ascii="楷体" w:hAnsi="楷体" w:eastAsia="楷体" w:cs="Arial"/>
          <w:b/>
          <w:bCs/>
          <w:color w:val="000000"/>
          <w:kern w:val="0"/>
          <w:sz w:val="32"/>
          <w:szCs w:val="32"/>
        </w:rPr>
        <w:t>（二）搭建素质强院学习平台。</w:t>
      </w:r>
      <w:r>
        <w:rPr>
          <w:rFonts w:hint="eastAsia" w:ascii="仿宋" w:hAnsi="仿宋" w:eastAsia="仿宋" w:cs="Arial"/>
          <w:color w:val="000000"/>
          <w:kern w:val="0"/>
          <w:sz w:val="32"/>
          <w:szCs w:val="32"/>
        </w:rPr>
        <w:t>以创建学习型法院为载体，把加强学习、提高干警素质作为一项战略任务来抓，全面提高队伍整体素质。有针对性提升业务能力素质，组织参加上级培训25期300人次，本级培训5期300人次。广泛开展岗位练兵和竞赛活动，全年参加上级法院各类竞赛20人次，报送参考性案例19个、论文13篇，获</w:t>
      </w:r>
      <w:r>
        <w:rPr>
          <w:rFonts w:hint="eastAsia" w:ascii="仿宋" w:hAnsi="仿宋" w:eastAsia="仿宋" w:cs="Arial"/>
          <w:color w:val="000000"/>
          <w:kern w:val="0"/>
          <w:sz w:val="32"/>
          <w:szCs w:val="32"/>
          <w:lang w:eastAsia="zh-CN"/>
        </w:rPr>
        <w:t>各类奖项</w:t>
      </w:r>
      <w:r>
        <w:rPr>
          <w:rFonts w:hint="eastAsia" w:ascii="仿宋" w:hAnsi="仿宋" w:eastAsia="仿宋" w:cs="Arial"/>
          <w:color w:val="000000"/>
          <w:kern w:val="0"/>
          <w:sz w:val="32"/>
          <w:szCs w:val="32"/>
          <w:lang w:val="en-US" w:eastAsia="zh-CN"/>
        </w:rPr>
        <w:t>7人次</w:t>
      </w:r>
      <w:r>
        <w:rPr>
          <w:rFonts w:hint="eastAsia" w:ascii="仿宋" w:hAnsi="仿宋" w:eastAsia="仿宋" w:cs="Arial"/>
          <w:color w:val="000000"/>
          <w:kern w:val="0"/>
          <w:sz w:val="32"/>
          <w:szCs w:val="32"/>
        </w:rPr>
        <w:t>。</w:t>
      </w:r>
    </w:p>
    <w:p>
      <w:pPr>
        <w:keepNext w:val="0"/>
        <w:keepLines w:val="0"/>
        <w:pageBreakBefore w:val="0"/>
        <w:kinsoku/>
        <w:wordWrap/>
        <w:overflowPunct/>
        <w:topLinePunct w:val="0"/>
        <w:autoSpaceDE/>
        <w:autoSpaceDN/>
        <w:bidi w:val="0"/>
        <w:adjustRightInd/>
        <w:snapToGrid/>
        <w:spacing w:line="580" w:lineRule="exact"/>
        <w:textAlignment w:val="auto"/>
        <w:outlineLvl w:val="9"/>
      </w:pPr>
      <w:r>
        <w:rPr>
          <w:rFonts w:hint="eastAsia" w:ascii="楷体" w:hAnsi="楷体" w:eastAsia="楷体" w:cs="Arial"/>
          <w:b/>
          <w:bCs/>
          <w:color w:val="000000"/>
          <w:kern w:val="0"/>
          <w:sz w:val="32"/>
          <w:szCs w:val="32"/>
        </w:rPr>
        <w:t xml:space="preserve">  （三）</w:t>
      </w:r>
      <w:r>
        <w:rPr>
          <w:rFonts w:hint="eastAsia" w:ascii="楷体" w:hAnsi="楷体" w:eastAsia="楷体"/>
          <w:b/>
          <w:bCs/>
          <w:sz w:val="32"/>
          <w:szCs w:val="32"/>
        </w:rPr>
        <w:t>搭建廉洁治院司法形象平台。</w:t>
      </w:r>
      <w:r>
        <w:rPr>
          <w:rFonts w:hint="eastAsia" w:ascii="仿宋" w:hAnsi="仿宋" w:eastAsia="仿宋" w:cs="Arial"/>
          <w:color w:val="000000"/>
          <w:kern w:val="0"/>
          <w:sz w:val="32"/>
          <w:szCs w:val="32"/>
        </w:rPr>
        <w:t>认真贯彻全面从严治党方针，以上率下严格落实“两个责任”，层层传导压力，逐级签</w:t>
      </w:r>
      <w:r>
        <w:rPr>
          <w:rFonts w:hint="eastAsia" w:ascii="仿宋" w:hAnsi="仿宋" w:eastAsia="仿宋" w:cs="Arial"/>
          <w:color w:val="000000"/>
          <w:kern w:val="0"/>
          <w:sz w:val="32"/>
          <w:szCs w:val="32"/>
          <w:lang w:eastAsia="zh-CN"/>
        </w:rPr>
        <w:t>订</w:t>
      </w:r>
      <w:r>
        <w:rPr>
          <w:rFonts w:hint="eastAsia" w:ascii="仿宋" w:hAnsi="仿宋" w:eastAsia="仿宋" w:cs="Arial"/>
          <w:color w:val="000000"/>
          <w:kern w:val="0"/>
          <w:sz w:val="32"/>
          <w:szCs w:val="32"/>
        </w:rPr>
        <w:t>党风廉政建设责任书，精准适用执纪监督“四种形态”，</w:t>
      </w:r>
      <w:r>
        <w:rPr>
          <w:rFonts w:hint="eastAsia" w:ascii="仿宋" w:hAnsi="仿宋" w:eastAsia="仿宋" w:cs="Arial"/>
          <w:color w:val="000000"/>
          <w:kern w:val="0"/>
          <w:sz w:val="32"/>
          <w:szCs w:val="32"/>
          <w:lang w:eastAsia="zh-CN"/>
        </w:rPr>
        <w:t>始终保持</w:t>
      </w:r>
      <w:r>
        <w:rPr>
          <w:rFonts w:hint="eastAsia" w:ascii="仿宋" w:hAnsi="仿宋" w:eastAsia="仿宋" w:cs="Arial"/>
          <w:color w:val="000000"/>
          <w:kern w:val="0"/>
          <w:sz w:val="32"/>
          <w:szCs w:val="32"/>
        </w:rPr>
        <w:t>严惩司法腐败</w:t>
      </w:r>
      <w:r>
        <w:rPr>
          <w:rFonts w:hint="eastAsia" w:ascii="仿宋" w:hAnsi="仿宋" w:eastAsia="仿宋" w:cs="Arial"/>
          <w:color w:val="000000"/>
          <w:kern w:val="0"/>
          <w:sz w:val="32"/>
          <w:szCs w:val="32"/>
          <w:lang w:eastAsia="zh-CN"/>
        </w:rPr>
        <w:t>高压态势</w:t>
      </w:r>
      <w:r>
        <w:rPr>
          <w:rFonts w:hint="eastAsia" w:ascii="仿宋" w:hAnsi="仿宋" w:eastAsia="仿宋" w:cs="Arial"/>
          <w:color w:val="000000"/>
          <w:kern w:val="0"/>
          <w:sz w:val="32"/>
          <w:szCs w:val="32"/>
        </w:rPr>
        <w:t>。完善廉政风险防控机制，组织廉政教育3次，教育干警慎独、慎微、慎初，筑牢思想道德防线。以“零容忍”态度正风肃纪，对</w:t>
      </w:r>
      <w:r>
        <w:rPr>
          <w:rFonts w:hint="eastAsia" w:ascii="仿宋" w:hAnsi="仿宋" w:eastAsia="仿宋" w:cs="Arial"/>
          <w:color w:val="000000"/>
          <w:kern w:val="0"/>
          <w:sz w:val="32"/>
          <w:szCs w:val="32"/>
          <w:lang w:val="en-US" w:eastAsia="zh-CN"/>
        </w:rPr>
        <w:t>7</w:t>
      </w:r>
      <w:r>
        <w:rPr>
          <w:rFonts w:hint="eastAsia" w:ascii="仿宋" w:hAnsi="仿宋" w:eastAsia="仿宋" w:cs="Arial"/>
          <w:color w:val="000000"/>
          <w:kern w:val="0"/>
          <w:sz w:val="32"/>
          <w:szCs w:val="32"/>
        </w:rPr>
        <w:t>名违纪干警给予</w:t>
      </w:r>
      <w:r>
        <w:rPr>
          <w:rFonts w:hint="eastAsia" w:ascii="仿宋" w:hAnsi="仿宋" w:eastAsia="仿宋" w:cs="Arial"/>
          <w:color w:val="000000"/>
          <w:kern w:val="0"/>
          <w:sz w:val="32"/>
          <w:szCs w:val="32"/>
          <w:lang w:eastAsia="zh-CN"/>
        </w:rPr>
        <w:t>党纪政纪</w:t>
      </w:r>
      <w:r>
        <w:rPr>
          <w:rFonts w:hint="eastAsia" w:ascii="仿宋" w:hAnsi="仿宋" w:eastAsia="仿宋" w:cs="Arial"/>
          <w:color w:val="000000"/>
          <w:kern w:val="0"/>
          <w:sz w:val="32"/>
          <w:szCs w:val="32"/>
        </w:rPr>
        <w:t>处分。</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jc w:val="left"/>
        <w:textAlignment w:val="auto"/>
        <w:outlineLvl w:val="9"/>
        <w:rPr>
          <w:rFonts w:ascii="Arial" w:hAnsi="Arial" w:eastAsia="宋体" w:cs="Arial"/>
          <w:color w:val="000000"/>
          <w:kern w:val="0"/>
          <w:sz w:val="19"/>
          <w:szCs w:val="19"/>
        </w:rPr>
      </w:pPr>
      <w:r>
        <w:rPr>
          <w:rFonts w:hint="eastAsia" w:ascii="黑体" w:hAnsi="黑体" w:eastAsia="黑体" w:cs="Arial"/>
          <w:b/>
          <w:bCs/>
          <w:color w:val="000000"/>
          <w:kern w:val="0"/>
          <w:sz w:val="32"/>
          <w:szCs w:val="32"/>
        </w:rPr>
        <w:t>五、主动接受监督，切实增强法院工作水平</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27"/>
        <w:jc w:val="left"/>
        <w:textAlignment w:val="auto"/>
        <w:outlineLvl w:val="9"/>
        <w:rPr>
          <w:rFonts w:ascii="仿宋" w:hAnsi="仿宋" w:eastAsia="仿宋" w:cs="Arial"/>
          <w:color w:val="000000"/>
          <w:kern w:val="0"/>
          <w:sz w:val="19"/>
          <w:szCs w:val="19"/>
        </w:rPr>
      </w:pPr>
      <w:r>
        <w:rPr>
          <w:rFonts w:hint="eastAsia" w:ascii="仿宋" w:hAnsi="仿宋" w:eastAsia="仿宋" w:cs="Arial"/>
          <w:color w:val="000000"/>
          <w:kern w:val="0"/>
          <w:sz w:val="32"/>
          <w:szCs w:val="32"/>
        </w:rPr>
        <w:t>主动向区委、区</w:t>
      </w:r>
      <w:r>
        <w:rPr>
          <w:rFonts w:hint="eastAsia" w:ascii="仿宋" w:hAnsi="仿宋" w:eastAsia="仿宋" w:cs="Arial"/>
          <w:color w:val="000000"/>
          <w:kern w:val="0"/>
          <w:sz w:val="32"/>
          <w:szCs w:val="32"/>
          <w:lang w:eastAsia="zh-CN"/>
        </w:rPr>
        <w:t>政府</w:t>
      </w:r>
      <w:r>
        <w:rPr>
          <w:rFonts w:hint="eastAsia" w:ascii="仿宋" w:hAnsi="仿宋" w:eastAsia="仿宋" w:cs="Arial"/>
          <w:color w:val="000000"/>
          <w:kern w:val="0"/>
          <w:sz w:val="32"/>
          <w:szCs w:val="32"/>
        </w:rPr>
        <w:t>、区人大、区政协报告通报相关工作，认真落实区委作出的相关决议、决定，破解法院建设发展过程中遇到的各种瓶颈问题，确保法院司法工作有正确的政治方向。积极配合人大、政协组织的视察调研活动，及时处理人大代表、政协委员意见建议，邀请代表委员观</w:t>
      </w:r>
      <w:r>
        <w:rPr>
          <w:rFonts w:hint="eastAsia" w:ascii="仿宋" w:hAnsi="仿宋" w:eastAsia="仿宋" w:cs="Arial"/>
          <w:color w:val="000000"/>
          <w:kern w:val="0"/>
          <w:sz w:val="32"/>
          <w:szCs w:val="32"/>
          <w:lang w:eastAsia="zh-CN"/>
        </w:rPr>
        <w:t>摩</w:t>
      </w:r>
      <w:r>
        <w:rPr>
          <w:rFonts w:hint="eastAsia" w:ascii="仿宋" w:hAnsi="仿宋" w:eastAsia="仿宋" w:cs="Arial"/>
          <w:color w:val="000000"/>
          <w:kern w:val="0"/>
          <w:sz w:val="32"/>
          <w:szCs w:val="32"/>
        </w:rPr>
        <w:t>庭审、听证、执行、座谈51人次，走访约见代表委员26人次。依法接受检察机关诉讼监督，共同维护法治权威。举办“公众开放日”活动，让代表委员和街道、社区工作人员及群众走进法院、感受司法，营造了全社会共同关心支持法院工作的和谐氛围。</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5"/>
        <w:jc w:val="left"/>
        <w:textAlignment w:val="auto"/>
        <w:outlineLvl w:val="9"/>
        <w:rPr>
          <w:rFonts w:ascii="仿宋" w:hAnsi="仿宋" w:eastAsia="仿宋" w:cs="Arial"/>
          <w:color w:val="000000"/>
          <w:kern w:val="0"/>
          <w:sz w:val="19"/>
          <w:szCs w:val="19"/>
        </w:rPr>
      </w:pPr>
      <w:r>
        <w:rPr>
          <w:rFonts w:hint="eastAsia" w:ascii="仿宋" w:hAnsi="仿宋" w:eastAsia="仿宋" w:cs="Arial"/>
          <w:color w:val="000000"/>
          <w:kern w:val="0"/>
          <w:sz w:val="32"/>
          <w:szCs w:val="32"/>
        </w:rPr>
        <w:t>一年来，区法院取得的成绩和进步，是区委正确领导、区人大有力监督</w:t>
      </w:r>
      <w:r>
        <w:rPr>
          <w:rFonts w:hint="eastAsia" w:ascii="仿宋" w:hAnsi="仿宋" w:eastAsia="仿宋" w:cs="Arial"/>
          <w:color w:val="000000"/>
          <w:kern w:val="0"/>
          <w:sz w:val="32"/>
          <w:szCs w:val="32"/>
          <w:lang w:eastAsia="zh-CN"/>
        </w:rPr>
        <w:t>、</w:t>
      </w:r>
      <w:r>
        <w:rPr>
          <w:rFonts w:hint="eastAsia" w:ascii="仿宋" w:hAnsi="仿宋" w:eastAsia="仿宋" w:cs="Arial"/>
          <w:color w:val="000000"/>
          <w:kern w:val="0"/>
          <w:sz w:val="32"/>
          <w:szCs w:val="32"/>
        </w:rPr>
        <w:t>区政府、区政协</w:t>
      </w:r>
      <w:r>
        <w:rPr>
          <w:rFonts w:hint="eastAsia" w:ascii="仿宋" w:hAnsi="仿宋" w:eastAsia="仿宋" w:cs="Arial"/>
          <w:color w:val="000000"/>
          <w:kern w:val="0"/>
          <w:sz w:val="32"/>
          <w:szCs w:val="32"/>
          <w:lang w:eastAsia="zh-CN"/>
        </w:rPr>
        <w:t>和</w:t>
      </w:r>
      <w:r>
        <w:rPr>
          <w:rFonts w:hint="eastAsia" w:ascii="仿宋" w:hAnsi="仿宋" w:eastAsia="仿宋" w:cs="Arial"/>
          <w:color w:val="000000"/>
          <w:kern w:val="0"/>
          <w:sz w:val="32"/>
          <w:szCs w:val="32"/>
        </w:rPr>
        <w:t>社会各界大力支持，以及各位人大代表关心帮助的结果。在此，我代表全院法官干警表示衷心感谢！</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27"/>
        <w:jc w:val="left"/>
        <w:textAlignment w:val="auto"/>
        <w:outlineLvl w:val="9"/>
        <w:rPr>
          <w:rFonts w:ascii="仿宋" w:hAnsi="仿宋" w:eastAsia="仿宋" w:cs="Arial"/>
          <w:color w:val="000000"/>
          <w:kern w:val="0"/>
          <w:sz w:val="19"/>
          <w:szCs w:val="19"/>
        </w:rPr>
      </w:pPr>
      <w:r>
        <w:rPr>
          <w:rFonts w:hint="eastAsia" w:ascii="仿宋" w:hAnsi="仿宋" w:eastAsia="仿宋" w:cs="Arial"/>
          <w:color w:val="000000"/>
          <w:kern w:val="0"/>
          <w:sz w:val="32"/>
          <w:szCs w:val="32"/>
        </w:rPr>
        <w:t>在肯定成绩的同时，我们也清醒地认识到工作中还存在着不少问题和困难，</w:t>
      </w:r>
      <w:r>
        <w:rPr>
          <w:rFonts w:hint="eastAsia" w:ascii="仿宋" w:hAnsi="仿宋" w:eastAsia="仿宋" w:cs="Arial"/>
          <w:b/>
          <w:bCs/>
          <w:color w:val="000000"/>
          <w:kern w:val="0"/>
          <w:sz w:val="32"/>
          <w:szCs w:val="32"/>
        </w:rPr>
        <w:t>一是</w:t>
      </w:r>
      <w:r>
        <w:rPr>
          <w:rFonts w:hint="eastAsia" w:ascii="仿宋" w:hAnsi="仿宋" w:eastAsia="仿宋" w:cs="Arial"/>
          <w:color w:val="000000"/>
          <w:kern w:val="0"/>
          <w:sz w:val="32"/>
          <w:szCs w:val="32"/>
        </w:rPr>
        <w:t>在推进“分调裁审”机制运行中，发挥定分止争作用还有较大提升空间；</w:t>
      </w:r>
      <w:r>
        <w:rPr>
          <w:rFonts w:hint="eastAsia" w:ascii="仿宋" w:hAnsi="仿宋" w:eastAsia="仿宋" w:cs="Arial"/>
          <w:b/>
          <w:bCs/>
          <w:color w:val="000000"/>
          <w:kern w:val="0"/>
          <w:sz w:val="32"/>
          <w:szCs w:val="32"/>
        </w:rPr>
        <w:t>二是</w:t>
      </w:r>
      <w:r>
        <w:rPr>
          <w:rFonts w:hint="eastAsia" w:ascii="仿宋" w:hAnsi="仿宋" w:eastAsia="仿宋" w:cs="Arial"/>
          <w:color w:val="000000"/>
          <w:kern w:val="0"/>
          <w:sz w:val="32"/>
          <w:szCs w:val="32"/>
        </w:rPr>
        <w:t>信息化建设发展应用还不平衡，智慧法院建设还需进一步深度应用融合；</w:t>
      </w:r>
      <w:r>
        <w:rPr>
          <w:rFonts w:hint="eastAsia" w:ascii="仿宋" w:hAnsi="仿宋" w:eastAsia="仿宋" w:cs="Arial"/>
          <w:b/>
          <w:bCs/>
          <w:color w:val="000000"/>
          <w:kern w:val="0"/>
          <w:sz w:val="32"/>
          <w:szCs w:val="32"/>
        </w:rPr>
        <w:t>三是</w:t>
      </w:r>
      <w:r>
        <w:rPr>
          <w:rFonts w:hint="eastAsia" w:ascii="仿宋" w:hAnsi="仿宋" w:eastAsia="仿宋" w:cs="Arial"/>
          <w:color w:val="000000"/>
          <w:kern w:val="0"/>
          <w:sz w:val="32"/>
          <w:szCs w:val="32"/>
        </w:rPr>
        <w:t>队伍人员结构不合理，审判力量不足，法官队伍老化、缺员、断层严重；</w:t>
      </w:r>
      <w:r>
        <w:rPr>
          <w:rFonts w:hint="eastAsia" w:ascii="仿宋" w:hAnsi="仿宋" w:eastAsia="仿宋" w:cs="Arial"/>
          <w:b/>
          <w:bCs/>
          <w:color w:val="000000"/>
          <w:kern w:val="0"/>
          <w:sz w:val="32"/>
          <w:szCs w:val="32"/>
        </w:rPr>
        <w:t>四是</w:t>
      </w:r>
      <w:r>
        <w:rPr>
          <w:rFonts w:hint="eastAsia" w:ascii="仿宋" w:hAnsi="仿宋" w:eastAsia="仿宋" w:cs="Arial"/>
          <w:color w:val="000000"/>
          <w:kern w:val="0"/>
          <w:sz w:val="32"/>
          <w:szCs w:val="32"/>
        </w:rPr>
        <w:t>个别法官干警的司法作风、水平与满足人民群众新期待还有较大差距。</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jc w:val="left"/>
        <w:textAlignment w:val="auto"/>
        <w:outlineLvl w:val="9"/>
        <w:rPr>
          <w:rFonts w:ascii="仿宋" w:hAnsi="仿宋" w:eastAsia="仿宋" w:cs="Arial"/>
          <w:color w:val="000000"/>
          <w:kern w:val="0"/>
          <w:sz w:val="19"/>
          <w:szCs w:val="19"/>
        </w:rPr>
      </w:pPr>
      <w:r>
        <w:rPr>
          <w:rFonts w:hint="eastAsia" w:ascii="仿宋" w:hAnsi="仿宋" w:eastAsia="仿宋" w:cs="Arial"/>
          <w:color w:val="000000"/>
          <w:kern w:val="0"/>
          <w:sz w:val="32"/>
          <w:szCs w:val="32"/>
        </w:rPr>
        <w:t>2020年，昌邑法院将在区委的坚强领导、区人大及其常委会的监督和区政府、区政协以及社会各界的大力支持下，高举习近平新时代中国特色社会主义思想伟大旗帜，认真贯彻落实党的十九届四中全会精神，坚决执行区委各项决策部署，强化担当、服务大局，忠实履行使命职责，努力为辖区的经济社会发展提供有力司法保障。</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3"/>
        <w:jc w:val="left"/>
        <w:textAlignment w:val="auto"/>
        <w:outlineLvl w:val="9"/>
        <w:rPr>
          <w:rFonts w:ascii="仿宋" w:hAnsi="仿宋" w:eastAsia="仿宋" w:cs="Arial"/>
          <w:color w:val="000000"/>
          <w:kern w:val="0"/>
          <w:sz w:val="19"/>
          <w:szCs w:val="19"/>
        </w:rPr>
      </w:pPr>
      <w:r>
        <w:rPr>
          <w:rFonts w:hint="eastAsia" w:ascii="楷体" w:hAnsi="楷体" w:eastAsia="楷体" w:cs="Arial"/>
          <w:b/>
          <w:bCs/>
          <w:color w:val="000000"/>
          <w:kern w:val="0"/>
          <w:sz w:val="32"/>
          <w:szCs w:val="32"/>
        </w:rPr>
        <w:t>一是狠抓执法办案，着力服务发展大局。</w:t>
      </w:r>
      <w:r>
        <w:rPr>
          <w:rFonts w:hint="eastAsia" w:ascii="仿宋" w:hAnsi="仿宋" w:eastAsia="仿宋" w:cs="Arial"/>
          <w:color w:val="000000"/>
          <w:kern w:val="0"/>
          <w:sz w:val="32"/>
          <w:szCs w:val="32"/>
        </w:rPr>
        <w:t>把握新发展理念与高质量发展要求，围绕服务辖区经济发展，助力打好“三大攻坚战”，深入推进“扫黑除恶”专项斗争，</w:t>
      </w:r>
      <w:r>
        <w:rPr>
          <w:rFonts w:hint="eastAsia" w:ascii="仿宋" w:hAnsi="仿宋" w:eastAsia="仿宋" w:cs="Arial"/>
          <w:color w:val="222222"/>
          <w:kern w:val="0"/>
          <w:sz w:val="32"/>
          <w:szCs w:val="32"/>
        </w:rPr>
        <w:t>切实维护社会大局稳定，保障人民安居乐业。</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3"/>
        <w:jc w:val="left"/>
        <w:textAlignment w:val="auto"/>
        <w:outlineLvl w:val="9"/>
        <w:rPr>
          <w:rFonts w:hint="eastAsia" w:ascii="仿宋" w:hAnsi="仿宋" w:eastAsia="仿宋" w:cs="Arial"/>
          <w:color w:val="000000"/>
          <w:kern w:val="0"/>
          <w:sz w:val="32"/>
          <w:szCs w:val="32"/>
        </w:rPr>
      </w:pPr>
      <w:r>
        <w:rPr>
          <w:rFonts w:hint="eastAsia" w:ascii="楷体" w:hAnsi="楷体" w:eastAsia="楷体" w:cs="Arial"/>
          <w:b/>
          <w:bCs/>
          <w:color w:val="000000"/>
          <w:kern w:val="0"/>
          <w:sz w:val="32"/>
          <w:szCs w:val="32"/>
        </w:rPr>
        <w:t>二是坚持司法为民</w:t>
      </w:r>
      <w:r>
        <w:rPr>
          <w:rFonts w:hint="eastAsia" w:ascii="楷体" w:hAnsi="楷体" w:eastAsia="楷体" w:cs="Arial"/>
          <w:b/>
          <w:bCs/>
          <w:color w:val="222222"/>
          <w:kern w:val="0"/>
          <w:sz w:val="32"/>
          <w:szCs w:val="32"/>
        </w:rPr>
        <w:t>，着力实现公平正义。</w:t>
      </w:r>
      <w:r>
        <w:rPr>
          <w:rFonts w:hint="eastAsia" w:ascii="仿宋" w:hAnsi="仿宋" w:eastAsia="仿宋" w:cs="Arial"/>
          <w:color w:val="222222"/>
          <w:kern w:val="0"/>
          <w:sz w:val="32"/>
          <w:szCs w:val="32"/>
        </w:rPr>
        <w:t>推动</w:t>
      </w:r>
      <w:r>
        <w:rPr>
          <w:rFonts w:hint="eastAsia" w:ascii="仿宋" w:hAnsi="仿宋" w:eastAsia="仿宋" w:cs="Arial"/>
          <w:color w:val="000000"/>
          <w:kern w:val="0"/>
          <w:sz w:val="32"/>
          <w:szCs w:val="32"/>
        </w:rPr>
        <w:t>“加强管理年”活动再深化，优化“两个一站式”平台建设，凝聚社会合力推进“诉源治理”，促进共建共治共享社会治理格局建设。</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3"/>
        <w:jc w:val="left"/>
        <w:textAlignment w:val="auto"/>
        <w:outlineLvl w:val="9"/>
        <w:rPr>
          <w:rFonts w:ascii="仿宋" w:hAnsi="仿宋" w:eastAsia="仿宋" w:cs="Arial"/>
          <w:color w:val="000000"/>
          <w:kern w:val="0"/>
          <w:sz w:val="19"/>
          <w:szCs w:val="19"/>
        </w:rPr>
      </w:pPr>
      <w:r>
        <w:rPr>
          <w:rFonts w:hint="eastAsia" w:ascii="楷体" w:hAnsi="楷体" w:eastAsia="楷体" w:cs="Arial"/>
          <w:b/>
          <w:bCs/>
          <w:color w:val="000000"/>
          <w:kern w:val="0"/>
          <w:sz w:val="32"/>
          <w:szCs w:val="32"/>
        </w:rPr>
        <w:t>三是完善机制建设，着力深化司法改革。</w:t>
      </w:r>
      <w:r>
        <w:rPr>
          <w:rFonts w:hint="eastAsia" w:ascii="仿宋" w:hAnsi="仿宋" w:eastAsia="仿宋" w:cs="Arial"/>
          <w:color w:val="000000"/>
          <w:kern w:val="0"/>
          <w:sz w:val="32"/>
          <w:szCs w:val="32"/>
        </w:rPr>
        <w:t>全面完善新型审判权力运行机制建设，全面落实司法责任制，巩固深化以审判为中心的刑事诉讼制度改革，深入推进司法体制综合配套改革，不断提升司法服务质效</w:t>
      </w:r>
      <w:r>
        <w:rPr>
          <w:rFonts w:hint="eastAsia" w:ascii="仿宋" w:hAnsi="仿宋" w:eastAsia="仿宋" w:cs="Arial"/>
          <w:color w:val="222222"/>
          <w:kern w:val="0"/>
          <w:sz w:val="32"/>
          <w:szCs w:val="32"/>
        </w:rPr>
        <w:t>。</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3"/>
        <w:jc w:val="left"/>
        <w:textAlignment w:val="auto"/>
        <w:outlineLvl w:val="9"/>
        <w:rPr>
          <w:rFonts w:ascii="Arial" w:hAnsi="Arial" w:eastAsia="宋体" w:cs="Arial"/>
          <w:color w:val="000000"/>
          <w:kern w:val="0"/>
          <w:sz w:val="19"/>
          <w:szCs w:val="19"/>
        </w:rPr>
      </w:pPr>
      <w:r>
        <w:rPr>
          <w:rFonts w:hint="eastAsia" w:ascii="楷体" w:hAnsi="楷体" w:eastAsia="楷体" w:cs="Arial"/>
          <w:b/>
          <w:bCs/>
          <w:color w:val="000000"/>
          <w:kern w:val="0"/>
          <w:sz w:val="32"/>
          <w:szCs w:val="32"/>
        </w:rPr>
        <w:t>四是加快建设智慧法院，着力推进科技应用。</w:t>
      </w:r>
      <w:r>
        <w:rPr>
          <w:rFonts w:hint="eastAsia" w:ascii="仿宋" w:hAnsi="仿宋" w:eastAsia="仿宋" w:cs="Arial"/>
          <w:color w:val="000000"/>
          <w:kern w:val="0"/>
          <w:sz w:val="32"/>
          <w:szCs w:val="32"/>
        </w:rPr>
        <w:t>围绕“三全三化”“四个服务”目标，强力推进“智审、智执、智服、智管”体系建设，拓展司法大数据功能，为“数字吉林”建设贡献智慧力量。</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3"/>
        <w:jc w:val="left"/>
        <w:textAlignment w:val="auto"/>
        <w:outlineLvl w:val="9"/>
        <w:rPr>
          <w:rFonts w:ascii="仿宋" w:hAnsi="仿宋" w:eastAsia="仿宋" w:cs="Arial"/>
          <w:color w:val="000000"/>
          <w:kern w:val="0"/>
          <w:sz w:val="19"/>
          <w:szCs w:val="19"/>
        </w:rPr>
      </w:pPr>
      <w:r>
        <w:rPr>
          <w:rFonts w:hint="eastAsia" w:ascii="楷体" w:hAnsi="楷体" w:eastAsia="楷体" w:cs="Arial"/>
          <w:b/>
          <w:bCs/>
          <w:color w:val="000000"/>
          <w:kern w:val="0"/>
          <w:sz w:val="32"/>
          <w:szCs w:val="32"/>
        </w:rPr>
        <w:t>五是夯实队伍建设根基，着力提升司法公信</w:t>
      </w:r>
      <w:r>
        <w:rPr>
          <w:rFonts w:hint="eastAsia" w:ascii="楷体" w:hAnsi="楷体" w:eastAsia="楷体" w:cs="Arial"/>
          <w:color w:val="000000"/>
          <w:kern w:val="0"/>
          <w:sz w:val="32"/>
          <w:szCs w:val="32"/>
        </w:rPr>
        <w:t>。</w:t>
      </w:r>
      <w:r>
        <w:rPr>
          <w:rFonts w:hint="eastAsia" w:ascii="仿宋" w:hAnsi="仿宋" w:eastAsia="仿宋" w:cs="Arial"/>
          <w:color w:val="000000"/>
          <w:kern w:val="0"/>
          <w:sz w:val="32"/>
          <w:szCs w:val="32"/>
        </w:rPr>
        <w:t>旗帜鲜明的把政治建设放在首位，坚定不移推进全面从严治党、全面从严治院，巩固“不忘初心、牢记使命”主题教育活动成果。创新权力约束监督机制，完善廉政风险防控体系，驰而不息地防范纠正“四风”，确保司法清正廉洁。</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jc w:val="left"/>
        <w:textAlignment w:val="auto"/>
        <w:outlineLvl w:val="9"/>
        <w:rPr>
          <w:rFonts w:ascii="仿宋" w:hAnsi="仿宋" w:eastAsia="仿宋" w:cs="Arial"/>
          <w:color w:val="000000"/>
          <w:kern w:val="0"/>
          <w:sz w:val="19"/>
          <w:szCs w:val="19"/>
        </w:rPr>
      </w:pPr>
      <w:r>
        <w:rPr>
          <w:rFonts w:hint="eastAsia" w:ascii="仿宋" w:hAnsi="仿宋" w:eastAsia="仿宋" w:cs="Arial"/>
          <w:color w:val="000000"/>
          <w:kern w:val="0"/>
          <w:sz w:val="32"/>
          <w:szCs w:val="32"/>
        </w:rPr>
        <w:t>各位代表，在新的一年里，区法院将在区委的坚强领导下，更加自觉地接受人大、政协监督，忠诚履职，坚持“司法为民、公正司法”宗旨，努力让人民群众在每一个司法案件中感受到公平正义，为保障辖区全面振兴全方位振兴作更大的贡献！</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3"/>
        <w:jc w:val="left"/>
        <w:textAlignment w:val="auto"/>
        <w:outlineLvl w:val="9"/>
        <w:rPr>
          <w:rFonts w:ascii="仿宋" w:hAnsi="仿宋" w:eastAsia="仿宋" w:cs="Arial"/>
          <w:color w:val="000000"/>
          <w:kern w:val="0"/>
          <w:sz w:val="19"/>
          <w:szCs w:val="19"/>
        </w:rPr>
      </w:pPr>
      <w:r>
        <w:rPr>
          <w:rFonts w:hint="eastAsia" w:ascii="仿宋" w:hAnsi="仿宋" w:eastAsia="仿宋" w:cs="Arial"/>
          <w:b/>
          <w:bCs/>
          <w:color w:val="000000"/>
          <w:kern w:val="0"/>
          <w:sz w:val="32"/>
          <w:szCs w:val="32"/>
        </w:rPr>
        <w:t>名词解释：</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3"/>
        <w:jc w:val="left"/>
        <w:textAlignment w:val="auto"/>
        <w:outlineLvl w:val="9"/>
        <w:rPr>
          <w:rFonts w:hint="eastAsia" w:ascii="仿宋" w:hAnsi="仿宋" w:eastAsia="仿宋" w:cs="Arial"/>
          <w:b/>
          <w:bCs/>
          <w:color w:val="000000"/>
          <w:kern w:val="0"/>
          <w:sz w:val="32"/>
          <w:szCs w:val="32"/>
          <w:lang w:eastAsia="zh-CN"/>
        </w:rPr>
      </w:pPr>
      <w:r>
        <w:rPr>
          <w:rFonts w:hint="eastAsia" w:ascii="仿宋" w:hAnsi="仿宋" w:eastAsia="仿宋" w:cs="Arial"/>
          <w:b/>
          <w:bCs/>
          <w:color w:val="000000"/>
          <w:kern w:val="0"/>
          <w:sz w:val="32"/>
          <w:szCs w:val="32"/>
          <w:lang w:eastAsia="zh-CN"/>
        </w:rPr>
        <w:t>九类犯罪，</w:t>
      </w:r>
      <w:r>
        <w:rPr>
          <w:rFonts w:hint="eastAsia" w:ascii="仿宋" w:hAnsi="仿宋" w:eastAsia="仿宋" w:cs="Arial"/>
          <w:b w:val="0"/>
          <w:bCs w:val="0"/>
          <w:color w:val="000000"/>
          <w:kern w:val="0"/>
          <w:sz w:val="32"/>
          <w:szCs w:val="32"/>
          <w:lang w:eastAsia="zh-CN"/>
        </w:rPr>
        <w:t>即聚众斗殴罪、强迫交易罪、寻衅滋事罪、敲诈勒索罪、非法拘禁罪、组织卖淫罪、强迫卖淫罪、开设赌场罪、故意损坏财物罪。</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3"/>
        <w:jc w:val="left"/>
        <w:textAlignment w:val="auto"/>
        <w:outlineLvl w:val="9"/>
        <w:rPr>
          <w:rFonts w:ascii="仿宋" w:hAnsi="仿宋" w:eastAsia="仿宋" w:cs="Arial"/>
          <w:color w:val="000000"/>
          <w:kern w:val="0"/>
          <w:sz w:val="19"/>
          <w:szCs w:val="19"/>
        </w:rPr>
      </w:pPr>
      <w:r>
        <w:rPr>
          <w:rFonts w:hint="eastAsia" w:ascii="仿宋" w:hAnsi="仿宋" w:eastAsia="仿宋" w:cs="Arial"/>
          <w:b/>
          <w:bCs/>
          <w:color w:val="000000"/>
          <w:kern w:val="0"/>
          <w:sz w:val="32"/>
          <w:szCs w:val="32"/>
        </w:rPr>
        <w:t>“四站四庭”</w:t>
      </w:r>
      <w:r>
        <w:rPr>
          <w:rFonts w:hint="eastAsia" w:ascii="仿宋" w:hAnsi="仿宋" w:eastAsia="仿宋" w:cs="Arial"/>
          <w:color w:val="000000"/>
          <w:kern w:val="0"/>
          <w:sz w:val="32"/>
          <w:szCs w:val="32"/>
        </w:rPr>
        <w:t>，九站法庭在桦皮厂镇、土城子乡、孤店子镇曹家村、九站街道分别设立了四个巡回调解工作站及配套的巡回衔接审判庭，通过巡回审判制度，提高办案效率，缩短办案时间，节省办案资源。</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3"/>
        <w:jc w:val="left"/>
        <w:textAlignment w:val="auto"/>
        <w:outlineLvl w:val="9"/>
        <w:rPr>
          <w:rFonts w:ascii="仿宋" w:hAnsi="仿宋" w:eastAsia="仿宋" w:cs="Arial"/>
          <w:color w:val="000000"/>
          <w:kern w:val="0"/>
          <w:sz w:val="19"/>
          <w:szCs w:val="19"/>
        </w:rPr>
      </w:pPr>
      <w:r>
        <w:rPr>
          <w:rFonts w:hint="eastAsia" w:ascii="仿宋" w:hAnsi="仿宋" w:eastAsia="仿宋" w:cs="Arial"/>
          <w:b/>
          <w:bCs/>
          <w:color w:val="000000"/>
          <w:kern w:val="0"/>
          <w:sz w:val="32"/>
          <w:szCs w:val="32"/>
        </w:rPr>
        <w:t>“三个及时”</w:t>
      </w:r>
      <w:r>
        <w:rPr>
          <w:rFonts w:hint="eastAsia" w:ascii="仿宋" w:hAnsi="仿宋" w:eastAsia="仿宋" w:cs="Arial"/>
          <w:color w:val="000000"/>
          <w:kern w:val="0"/>
          <w:sz w:val="32"/>
          <w:szCs w:val="32"/>
        </w:rPr>
        <w:t>，即及时立案、及时进入诉前调解、及时做出审判结果。对涉及土地承包经营权纠纷案件、种子农药化肥买卖合同纠纷等案件，利用“四站四庭”多元化解纠纷机制，更好的保障辖区农民的合法权益。</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3"/>
        <w:jc w:val="left"/>
        <w:textAlignment w:val="auto"/>
        <w:outlineLvl w:val="9"/>
        <w:rPr>
          <w:rFonts w:ascii="仿宋" w:hAnsi="仿宋" w:eastAsia="仿宋" w:cs="Arial"/>
          <w:color w:val="000000"/>
          <w:kern w:val="0"/>
          <w:sz w:val="19"/>
          <w:szCs w:val="19"/>
        </w:rPr>
      </w:pPr>
      <w:r>
        <w:rPr>
          <w:rFonts w:hint="eastAsia" w:ascii="仿宋" w:hAnsi="仿宋" w:eastAsia="仿宋" w:cs="Arial"/>
          <w:b/>
          <w:bCs/>
          <w:color w:val="000000"/>
          <w:kern w:val="0"/>
          <w:sz w:val="32"/>
          <w:szCs w:val="32"/>
        </w:rPr>
        <w:t>创新执行联动机制。</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jc w:val="left"/>
        <w:textAlignment w:val="auto"/>
        <w:outlineLvl w:val="9"/>
        <w:rPr>
          <w:rFonts w:ascii="仿宋" w:hAnsi="仿宋" w:eastAsia="仿宋" w:cs="Arial"/>
          <w:color w:val="000000"/>
          <w:kern w:val="0"/>
          <w:sz w:val="19"/>
          <w:szCs w:val="19"/>
        </w:rPr>
      </w:pPr>
      <w:r>
        <w:rPr>
          <w:rFonts w:hint="eastAsia" w:ascii="仿宋" w:hAnsi="仿宋" w:eastAsia="仿宋" w:cs="Arial"/>
          <w:color w:val="000000"/>
          <w:kern w:val="0"/>
          <w:sz w:val="32"/>
          <w:szCs w:val="32"/>
        </w:rPr>
        <w:t>（1）与吉林市交警</w:t>
      </w:r>
      <w:r>
        <w:rPr>
          <w:rFonts w:hint="eastAsia" w:ascii="仿宋" w:hAnsi="仿宋" w:eastAsia="仿宋" w:cs="Arial"/>
          <w:color w:val="000000"/>
          <w:kern w:val="0"/>
          <w:sz w:val="32"/>
          <w:szCs w:val="32"/>
          <w:lang w:eastAsia="zh-CN"/>
        </w:rPr>
        <w:t>支</w:t>
      </w:r>
      <w:r>
        <w:rPr>
          <w:rFonts w:hint="eastAsia" w:ascii="仿宋" w:hAnsi="仿宋" w:eastAsia="仿宋" w:cs="Arial"/>
          <w:color w:val="000000"/>
          <w:kern w:val="0"/>
          <w:sz w:val="32"/>
          <w:szCs w:val="32"/>
        </w:rPr>
        <w:t>队建立执行联动机制，出台《关于交警部门协助法院扣押被执行人机动车辆工作的实施细则（试行）》，使交警部门利用现代智能交通管理系统，协助拦截查控被法院查封的车辆，有效解决了法院强制执行时，财产、人员难以查找控制的困难。</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jc w:val="left"/>
        <w:textAlignment w:val="auto"/>
        <w:outlineLvl w:val="9"/>
        <w:rPr>
          <w:rFonts w:ascii="仿宋" w:hAnsi="仿宋" w:eastAsia="仿宋" w:cs="Arial"/>
          <w:color w:val="000000"/>
          <w:kern w:val="0"/>
          <w:sz w:val="19"/>
          <w:szCs w:val="19"/>
        </w:rPr>
      </w:pPr>
      <w:r>
        <w:rPr>
          <w:rFonts w:hint="eastAsia" w:ascii="仿宋" w:hAnsi="仿宋" w:eastAsia="仿宋" w:cs="Arial"/>
          <w:color w:val="000000"/>
          <w:kern w:val="0"/>
          <w:sz w:val="32"/>
          <w:szCs w:val="32"/>
        </w:rPr>
        <w:t>（2）与区各职能部门联动,</w:t>
      </w:r>
      <w:r>
        <w:rPr>
          <w:rFonts w:hint="eastAsia" w:ascii="仿宋" w:hAnsi="仿宋" w:eastAsia="仿宋" w:cs="Arial"/>
          <w:color w:val="000000"/>
          <w:kern w:val="0"/>
          <w:sz w:val="32"/>
          <w:szCs w:val="32"/>
          <w:lang w:eastAsia="zh-CN"/>
        </w:rPr>
        <w:t>由</w:t>
      </w:r>
      <w:r>
        <w:rPr>
          <w:rFonts w:hint="eastAsia" w:ascii="仿宋" w:hAnsi="仿宋" w:eastAsia="仿宋" w:cs="Arial"/>
          <w:color w:val="000000"/>
          <w:kern w:val="0"/>
          <w:sz w:val="32"/>
          <w:szCs w:val="32"/>
        </w:rPr>
        <w:t>区委政法委牵头，联合辖区内15个相关职能部门联合下发文件《关于加强对失信被执行人联合惩戒的</w:t>
      </w:r>
      <w:r>
        <w:rPr>
          <w:rFonts w:hint="eastAsia" w:ascii="仿宋" w:hAnsi="仿宋" w:eastAsia="仿宋" w:cs="Arial"/>
          <w:color w:val="000000"/>
          <w:kern w:val="0"/>
          <w:sz w:val="32"/>
          <w:szCs w:val="32"/>
          <w:lang w:eastAsia="zh-CN"/>
        </w:rPr>
        <w:t>实施</w:t>
      </w:r>
      <w:r>
        <w:rPr>
          <w:rFonts w:hint="eastAsia" w:ascii="仿宋" w:hAnsi="仿宋" w:eastAsia="仿宋" w:cs="Arial"/>
          <w:color w:val="000000"/>
          <w:kern w:val="0"/>
          <w:sz w:val="32"/>
          <w:szCs w:val="32"/>
        </w:rPr>
        <w:t>意见》，将失信被执行人名单嵌入该部门工作系统，联合惩戒失信行为，有效强化了法院执行的威慑力。</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jc w:val="left"/>
        <w:textAlignment w:val="auto"/>
        <w:outlineLvl w:val="9"/>
        <w:rPr>
          <w:rFonts w:ascii="仿宋" w:hAnsi="仿宋" w:eastAsia="仿宋" w:cs="Arial"/>
          <w:color w:val="000000"/>
          <w:kern w:val="0"/>
          <w:sz w:val="19"/>
          <w:szCs w:val="19"/>
        </w:rPr>
      </w:pPr>
      <w:r>
        <w:rPr>
          <w:rFonts w:hint="eastAsia" w:ascii="仿宋" w:hAnsi="仿宋" w:eastAsia="仿宋" w:cs="Arial"/>
          <w:color w:val="000000"/>
          <w:kern w:val="0"/>
          <w:sz w:val="32"/>
          <w:szCs w:val="32"/>
        </w:rPr>
        <w:t>（3）在全省率先与中国人民财产保险股份有限公司吉林市分公司签订司法救助协议，引入“执行救助保险”项目，为破解执行难工作再添新举措。保险项目合作内容涵盖诉讼保全责任保险、执行悬赏保险、执行救助保险、司法抚恤保险、司法拍卖保证金保险等多种创新业务。为完善司法救助制度，强化司法人权保障力度，昌邑法院积极搭建诉讼保全责任险与司法救助的互助关系，推动保险公司将效益型诉讼保全责任保险业务的收益，以一定的转化率转移至公益性执行救助保险的保障额度，赔付给符合救助条件的申请执行人，以助力破解执行不能难题。目前</w:t>
      </w:r>
      <w:r>
        <w:rPr>
          <w:rFonts w:hint="eastAsia" w:ascii="仿宋" w:hAnsi="仿宋" w:eastAsia="仿宋" w:cs="Arial"/>
          <w:color w:val="000000"/>
          <w:kern w:val="0"/>
          <w:sz w:val="32"/>
          <w:szCs w:val="32"/>
          <w:lang w:eastAsia="zh-CN"/>
        </w:rPr>
        <w:t>，</w:t>
      </w:r>
      <w:r>
        <w:rPr>
          <w:rFonts w:hint="eastAsia" w:ascii="仿宋" w:hAnsi="仿宋" w:eastAsia="仿宋" w:cs="Arial"/>
          <w:color w:val="000000"/>
          <w:kern w:val="0"/>
          <w:sz w:val="32"/>
          <w:szCs w:val="32"/>
        </w:rPr>
        <w:t>我院</w:t>
      </w:r>
      <w:r>
        <w:rPr>
          <w:rFonts w:hint="eastAsia" w:ascii="仿宋" w:hAnsi="仿宋" w:eastAsia="仿宋" w:cs="Arial"/>
          <w:color w:val="000000"/>
          <w:kern w:val="0"/>
          <w:sz w:val="32"/>
          <w:szCs w:val="32"/>
          <w:lang w:eastAsia="zh-CN"/>
        </w:rPr>
        <w:t>通过执行救助保险，</w:t>
      </w:r>
      <w:r>
        <w:rPr>
          <w:rFonts w:hint="eastAsia" w:ascii="仿宋" w:hAnsi="仿宋" w:eastAsia="仿宋" w:cs="Arial"/>
          <w:color w:val="000000"/>
          <w:kern w:val="0"/>
          <w:sz w:val="32"/>
          <w:szCs w:val="32"/>
        </w:rPr>
        <w:t>成功化解多年信访缠访案件及长期未结的侵权类案件。</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3"/>
        <w:jc w:val="left"/>
        <w:textAlignment w:val="auto"/>
        <w:outlineLvl w:val="9"/>
        <w:rPr>
          <w:rFonts w:ascii="仿宋" w:hAnsi="仿宋" w:eastAsia="仿宋" w:cs="Arial"/>
          <w:color w:val="000000"/>
          <w:kern w:val="0"/>
          <w:sz w:val="19"/>
          <w:szCs w:val="19"/>
        </w:rPr>
      </w:pPr>
      <w:r>
        <w:rPr>
          <w:rFonts w:hint="eastAsia" w:ascii="仿宋" w:hAnsi="仿宋" w:eastAsia="仿宋" w:cs="Arial"/>
          <w:b/>
          <w:bCs/>
          <w:color w:val="000000"/>
          <w:kern w:val="0"/>
          <w:sz w:val="32"/>
          <w:szCs w:val="32"/>
        </w:rPr>
        <w:t>“三费”案件</w:t>
      </w:r>
      <w:r>
        <w:rPr>
          <w:rFonts w:hint="eastAsia" w:ascii="仿宋" w:hAnsi="仿宋" w:eastAsia="仿宋" w:cs="Arial"/>
          <w:color w:val="000000"/>
          <w:kern w:val="0"/>
          <w:sz w:val="32"/>
          <w:szCs w:val="32"/>
        </w:rPr>
        <w:t>，涉及赡养费、扶养费、抚育费案件。</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outlineLvl w:val="9"/>
        <w:rPr>
          <w:rFonts w:ascii="仿宋_GB2312" w:eastAsia="仿宋_GB2312"/>
          <w:sz w:val="32"/>
          <w:szCs w:val="32"/>
        </w:rPr>
      </w:pPr>
      <w:r>
        <w:rPr>
          <w:rFonts w:hint="eastAsia" w:ascii="仿宋" w:hAnsi="仿宋" w:eastAsia="仿宋" w:cs="Arial"/>
          <w:b/>
          <w:bCs/>
          <w:color w:val="000000"/>
          <w:kern w:val="0"/>
          <w:sz w:val="32"/>
          <w:szCs w:val="32"/>
          <w:lang w:eastAsia="zh-CN"/>
        </w:rPr>
        <w:t>“四类案件”，</w:t>
      </w:r>
      <w:r>
        <w:rPr>
          <w:rFonts w:hint="eastAsia" w:ascii="仿宋_GB2312" w:eastAsia="仿宋_GB2312" w:hAnsiTheme="minorEastAsia"/>
          <w:sz w:val="32"/>
          <w:szCs w:val="32"/>
          <w:lang w:eastAsia="zh-CN"/>
        </w:rPr>
        <w:t>即</w:t>
      </w:r>
      <w:r>
        <w:rPr>
          <w:rFonts w:hint="eastAsia" w:ascii="仿宋_GB2312" w:eastAsia="仿宋_GB2312"/>
          <w:sz w:val="32"/>
          <w:szCs w:val="32"/>
        </w:rPr>
        <w:t>涉及群体性纠纷，可能影响社会稳定的；疑难、复杂且在社会上有重大影响的；与本院或者上级法院的类案判决可能发生冲突的；有关单位或者个人反映法官有违法审判、执行行为的。</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3"/>
        <w:jc w:val="left"/>
        <w:textAlignment w:val="auto"/>
        <w:outlineLvl w:val="9"/>
        <w:rPr>
          <w:rFonts w:hint="eastAsia" w:ascii="仿宋" w:hAnsi="仿宋" w:eastAsia="仿宋" w:cs="Arial"/>
          <w:b/>
          <w:bCs/>
          <w:color w:val="000000"/>
          <w:kern w:val="0"/>
          <w:sz w:val="32"/>
          <w:szCs w:val="32"/>
          <w:lang w:eastAsia="zh-CN"/>
        </w:rPr>
      </w:pPr>
      <w:r>
        <w:rPr>
          <w:rFonts w:hint="eastAsia" w:ascii="仿宋" w:hAnsi="仿宋" w:eastAsia="仿宋" w:cs="Arial"/>
          <w:b/>
          <w:bCs/>
          <w:color w:val="000000"/>
          <w:kern w:val="0"/>
          <w:sz w:val="32"/>
          <w:szCs w:val="32"/>
        </w:rPr>
        <w:t>“两个一站式”建设</w:t>
      </w:r>
      <w:r>
        <w:rPr>
          <w:rFonts w:hint="eastAsia" w:ascii="仿宋" w:hAnsi="仿宋" w:eastAsia="仿宋" w:cs="Arial"/>
          <w:color w:val="000000"/>
          <w:kern w:val="0"/>
          <w:sz w:val="32"/>
          <w:szCs w:val="32"/>
        </w:rPr>
        <w:t>，“一站式”多元解纷机制建设和“一站式”诉讼服务中心建设。</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3"/>
        <w:jc w:val="left"/>
        <w:textAlignment w:val="auto"/>
        <w:outlineLvl w:val="9"/>
        <w:rPr>
          <w:rFonts w:ascii="仿宋" w:hAnsi="仿宋" w:eastAsia="仿宋" w:cs="Arial"/>
          <w:color w:val="000000"/>
          <w:kern w:val="0"/>
          <w:sz w:val="19"/>
          <w:szCs w:val="19"/>
        </w:rPr>
      </w:pPr>
      <w:r>
        <w:rPr>
          <w:rFonts w:hint="eastAsia" w:ascii="仿宋" w:hAnsi="仿宋" w:eastAsia="仿宋" w:cs="Arial"/>
          <w:b/>
          <w:bCs/>
          <w:color w:val="000000"/>
          <w:kern w:val="0"/>
          <w:sz w:val="32"/>
          <w:szCs w:val="32"/>
        </w:rPr>
        <w:t>“分调裁</w:t>
      </w:r>
      <w:r>
        <w:rPr>
          <w:rFonts w:hint="eastAsia" w:ascii="仿宋" w:hAnsi="仿宋" w:eastAsia="仿宋" w:cs="Arial"/>
          <w:b/>
          <w:bCs/>
          <w:color w:val="000000"/>
          <w:kern w:val="0"/>
          <w:sz w:val="32"/>
          <w:szCs w:val="32"/>
          <w:lang w:eastAsia="zh-CN"/>
        </w:rPr>
        <w:t>审</w:t>
      </w:r>
      <w:r>
        <w:rPr>
          <w:rFonts w:hint="eastAsia" w:ascii="仿宋" w:hAnsi="仿宋" w:eastAsia="仿宋" w:cs="Arial"/>
          <w:b/>
          <w:bCs/>
          <w:color w:val="000000"/>
          <w:kern w:val="0"/>
          <w:sz w:val="32"/>
          <w:szCs w:val="32"/>
        </w:rPr>
        <w:t>”机制</w:t>
      </w:r>
      <w:r>
        <w:rPr>
          <w:rFonts w:hint="eastAsia" w:ascii="仿宋" w:hAnsi="仿宋" w:eastAsia="仿宋" w:cs="Arial"/>
          <w:color w:val="000000"/>
          <w:kern w:val="0"/>
          <w:sz w:val="32"/>
          <w:szCs w:val="32"/>
        </w:rPr>
        <w:t>，通过诉前分流、诉前调解、速裁审理的方式，优化司法资源配置，提高审判质效，缓解案多人少矛盾。</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3"/>
        <w:jc w:val="left"/>
        <w:textAlignment w:val="auto"/>
        <w:outlineLvl w:val="9"/>
        <w:rPr>
          <w:rFonts w:hint="eastAsia" w:ascii="仿宋" w:hAnsi="仿宋" w:eastAsia="仿宋" w:cs="Arial"/>
          <w:color w:val="000000"/>
          <w:kern w:val="0"/>
          <w:sz w:val="32"/>
          <w:szCs w:val="32"/>
        </w:rPr>
      </w:pPr>
      <w:r>
        <w:rPr>
          <w:rFonts w:hint="eastAsia" w:ascii="仿宋" w:hAnsi="仿宋" w:eastAsia="仿宋" w:cs="Arial"/>
          <w:b/>
          <w:bCs/>
          <w:color w:val="000000"/>
          <w:kern w:val="0"/>
          <w:sz w:val="32"/>
          <w:szCs w:val="32"/>
        </w:rPr>
        <w:t>普法“六走进”</w:t>
      </w:r>
      <w:r>
        <w:rPr>
          <w:rFonts w:hint="eastAsia" w:ascii="仿宋" w:hAnsi="仿宋" w:eastAsia="仿宋" w:cs="Arial"/>
          <w:color w:val="000000"/>
          <w:kern w:val="0"/>
          <w:sz w:val="32"/>
          <w:szCs w:val="32"/>
        </w:rPr>
        <w:t>，走进机关、乡村、社区、学校、企业、部队普法活动。</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3"/>
        <w:jc w:val="left"/>
        <w:textAlignment w:val="auto"/>
        <w:outlineLvl w:val="9"/>
        <w:rPr>
          <w:rFonts w:hint="eastAsia" w:ascii="仿宋" w:hAnsi="仿宋" w:eastAsia="仿宋" w:cs="Arial"/>
          <w:color w:val="000000"/>
          <w:kern w:val="0"/>
          <w:sz w:val="32"/>
          <w:szCs w:val="32"/>
        </w:rPr>
      </w:pPr>
      <w:r>
        <w:rPr>
          <w:rFonts w:hint="eastAsia" w:ascii="仿宋" w:hAnsi="仿宋" w:eastAsia="仿宋" w:cs="Arial"/>
          <w:b/>
          <w:bCs/>
          <w:color w:val="000000"/>
          <w:kern w:val="0"/>
          <w:sz w:val="32"/>
          <w:szCs w:val="32"/>
        </w:rPr>
        <w:t>“诉源治理”</w:t>
      </w:r>
      <w:r>
        <w:rPr>
          <w:rFonts w:hint="eastAsia" w:ascii="仿宋" w:hAnsi="仿宋" w:eastAsia="仿宋" w:cs="Arial"/>
          <w:color w:val="000000"/>
          <w:kern w:val="0"/>
          <w:sz w:val="32"/>
          <w:szCs w:val="32"/>
        </w:rPr>
        <w:t>，狭义范围指诉讼外的矛盾纠纷源头治理，对法院而言，主要涉及两个方面的工作：一是发挥司法服务中心大局职能，积极参与社会基础治理，努力把矛盾纠纷化解在基层、化解在萌芽状态；二是依托诉调对接、诉非衔接对既已产生的矛盾纠纷进行分流化解。</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3"/>
        <w:jc w:val="left"/>
        <w:textAlignment w:val="auto"/>
        <w:outlineLvl w:val="9"/>
        <w:rPr>
          <w:rFonts w:ascii="仿宋" w:hAnsi="仿宋" w:eastAsia="仿宋" w:cs="Arial"/>
          <w:color w:val="000000"/>
          <w:kern w:val="0"/>
          <w:sz w:val="19"/>
          <w:szCs w:val="19"/>
        </w:rPr>
      </w:pPr>
      <w:r>
        <w:rPr>
          <w:rFonts w:hint="eastAsia" w:ascii="仿宋" w:hAnsi="仿宋" w:eastAsia="仿宋" w:cs="Arial"/>
          <w:b/>
          <w:bCs/>
          <w:color w:val="000000"/>
          <w:kern w:val="0"/>
          <w:sz w:val="32"/>
          <w:szCs w:val="32"/>
        </w:rPr>
        <w:t>“三全三化”</w:t>
      </w:r>
      <w:r>
        <w:rPr>
          <w:rFonts w:hint="eastAsia" w:ascii="仿宋" w:hAnsi="仿宋" w:eastAsia="仿宋" w:cs="Arial"/>
          <w:color w:val="000000"/>
          <w:kern w:val="0"/>
          <w:sz w:val="32"/>
          <w:szCs w:val="32"/>
        </w:rPr>
        <w:t>，全业务网上办理、全流程依法公开、全方位智能服务，着力构建网络化、阳光化、智能化法院。</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3"/>
        <w:jc w:val="left"/>
        <w:textAlignment w:val="auto"/>
        <w:outlineLvl w:val="9"/>
        <w:rPr>
          <w:rFonts w:ascii="仿宋" w:hAnsi="仿宋" w:eastAsia="仿宋" w:cs="Arial"/>
          <w:color w:val="000000"/>
          <w:kern w:val="0"/>
          <w:sz w:val="19"/>
          <w:szCs w:val="19"/>
        </w:rPr>
      </w:pPr>
      <w:r>
        <w:rPr>
          <w:rFonts w:hint="eastAsia" w:ascii="仿宋" w:hAnsi="仿宋" w:eastAsia="仿宋" w:cs="Arial"/>
          <w:b/>
          <w:bCs/>
          <w:color w:val="000000"/>
          <w:kern w:val="0"/>
          <w:sz w:val="32"/>
          <w:szCs w:val="32"/>
        </w:rPr>
        <w:t>“四个服务”</w:t>
      </w:r>
      <w:r>
        <w:rPr>
          <w:rFonts w:hint="eastAsia" w:ascii="仿宋" w:hAnsi="仿宋" w:eastAsia="仿宋" w:cs="Arial"/>
          <w:color w:val="000000"/>
          <w:kern w:val="0"/>
          <w:sz w:val="32"/>
          <w:szCs w:val="32"/>
        </w:rPr>
        <w:t>，服务人民群众、服务审判执行、服务司法管理、服务廉洁司法。</w:t>
      </w:r>
    </w:p>
    <w:p>
      <w:pPr>
        <w:keepNext w:val="0"/>
        <w:keepLines w:val="0"/>
        <w:pageBreakBefore w:val="0"/>
        <w:widowControl/>
        <w:shd w:val="clear" w:color="auto" w:fill="FFFFFF"/>
        <w:kinsoku/>
        <w:wordWrap/>
        <w:overflowPunct/>
        <w:topLinePunct w:val="0"/>
        <w:autoSpaceDE/>
        <w:autoSpaceDN/>
        <w:bidi w:val="0"/>
        <w:adjustRightInd/>
        <w:snapToGrid/>
        <w:spacing w:line="580" w:lineRule="exact"/>
        <w:ind w:firstLine="640"/>
        <w:jc w:val="left"/>
        <w:textAlignment w:val="auto"/>
        <w:outlineLvl w:val="9"/>
        <w:rPr>
          <w:rFonts w:ascii="仿宋" w:hAnsi="仿宋" w:eastAsia="仿宋" w:cs="Arial"/>
          <w:color w:val="000000"/>
          <w:kern w:val="0"/>
          <w:sz w:val="19"/>
          <w:szCs w:val="19"/>
        </w:rPr>
      </w:pPr>
      <w:r>
        <w:rPr>
          <w:rFonts w:hint="eastAsia" w:ascii="仿宋" w:hAnsi="Arial" w:eastAsia="仿宋" w:cs="Arial"/>
          <w:color w:val="000000"/>
          <w:kern w:val="0"/>
          <w:sz w:val="32"/>
          <w:szCs w:val="32"/>
        </w:rPr>
        <w:t> </w:t>
      </w:r>
    </w:p>
    <w:p>
      <w:pPr>
        <w:keepNext w:val="0"/>
        <w:keepLines w:val="0"/>
        <w:pageBreakBefore w:val="0"/>
        <w:kinsoku/>
        <w:wordWrap/>
        <w:overflowPunct/>
        <w:topLinePunct w:val="0"/>
        <w:autoSpaceDE/>
        <w:autoSpaceDN/>
        <w:bidi w:val="0"/>
        <w:adjustRightInd/>
        <w:snapToGrid/>
        <w:spacing w:line="580" w:lineRule="exact"/>
        <w:textAlignment w:val="auto"/>
        <w:outlineLvl w:val="9"/>
        <w:rPr>
          <w:rFonts w:ascii="仿宋" w:hAnsi="仿宋" w:eastAsia="仿宋"/>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roman"/>
    <w:pitch w:val="default"/>
    <w:sig w:usb0="00000000" w:usb1="00000000" w:usb2="0000001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roma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23775317"/>
                            <w:docPartObj>
                              <w:docPartGallery w:val="autotext"/>
                            </w:docPartObj>
                          </w:sdtPr>
                          <w:sdtContent>
                            <w:p>
                              <w:pPr>
                                <w:pStyle w:val="2"/>
                                <w:jc w:val="cente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12</w:t>
                              </w:r>
                              <w:r>
                                <w:rPr>
                                  <w:rFonts w:asciiTheme="minorEastAsia" w:hAnsiTheme="minorEastAsia"/>
                                  <w:sz w:val="28"/>
                                  <w:szCs w:val="28"/>
                                </w:rP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sdt>
                    <w:sdtPr>
                      <w:id w:val="23775317"/>
                      <w:docPartObj>
                        <w:docPartGallery w:val="autotext"/>
                      </w:docPartObj>
                    </w:sdtPr>
                    <w:sdtContent>
                      <w:p>
                        <w:pPr>
                          <w:pStyle w:val="2"/>
                          <w:jc w:val="cente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12</w:t>
                        </w:r>
                        <w:r>
                          <w:rPr>
                            <w:rFonts w:asciiTheme="minorEastAsia" w:hAnsiTheme="minorEastAsia"/>
                            <w:sz w:val="28"/>
                            <w:szCs w:val="28"/>
                          </w:rPr>
                          <w:fldChar w:fldCharType="end"/>
                        </w:r>
                      </w:p>
                    </w:sdtContent>
                  </w:sdt>
                  <w:p/>
                </w:txbxContent>
              </v:textbox>
            </v:shape>
          </w:pict>
        </mc:Fallback>
      </mc:AlternateConten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1E2"/>
    <w:rsid w:val="0005606D"/>
    <w:rsid w:val="001171E2"/>
    <w:rsid w:val="002764D5"/>
    <w:rsid w:val="004852BA"/>
    <w:rsid w:val="00495B65"/>
    <w:rsid w:val="006A5D9C"/>
    <w:rsid w:val="00A90EFB"/>
    <w:rsid w:val="00B1331B"/>
    <w:rsid w:val="00B730B2"/>
    <w:rsid w:val="00C47738"/>
    <w:rsid w:val="00F25216"/>
    <w:rsid w:val="00F95AB4"/>
    <w:rsid w:val="04A71407"/>
    <w:rsid w:val="069944CE"/>
    <w:rsid w:val="07251074"/>
    <w:rsid w:val="093D68F2"/>
    <w:rsid w:val="0CD22400"/>
    <w:rsid w:val="0D2F7E4B"/>
    <w:rsid w:val="0FC20F57"/>
    <w:rsid w:val="123817D1"/>
    <w:rsid w:val="12786149"/>
    <w:rsid w:val="13D64E0C"/>
    <w:rsid w:val="143F6A84"/>
    <w:rsid w:val="16295B78"/>
    <w:rsid w:val="17122F6A"/>
    <w:rsid w:val="1938141C"/>
    <w:rsid w:val="207E3BAC"/>
    <w:rsid w:val="20BB0F0C"/>
    <w:rsid w:val="24D26888"/>
    <w:rsid w:val="24D66D2B"/>
    <w:rsid w:val="25396287"/>
    <w:rsid w:val="25D70B17"/>
    <w:rsid w:val="287A75C8"/>
    <w:rsid w:val="2B952713"/>
    <w:rsid w:val="2CE425DB"/>
    <w:rsid w:val="2D473722"/>
    <w:rsid w:val="2FD87728"/>
    <w:rsid w:val="33FE0B56"/>
    <w:rsid w:val="340E014F"/>
    <w:rsid w:val="37172109"/>
    <w:rsid w:val="3FC35BFB"/>
    <w:rsid w:val="43E642CD"/>
    <w:rsid w:val="48053F52"/>
    <w:rsid w:val="4D33707D"/>
    <w:rsid w:val="4EE77CAF"/>
    <w:rsid w:val="5416024A"/>
    <w:rsid w:val="54B63AB0"/>
    <w:rsid w:val="599853D2"/>
    <w:rsid w:val="5ABD7ABE"/>
    <w:rsid w:val="634E0488"/>
    <w:rsid w:val="651B0124"/>
    <w:rsid w:val="67517FCC"/>
    <w:rsid w:val="69474D39"/>
    <w:rsid w:val="6D4B3A50"/>
    <w:rsid w:val="6ED96F6C"/>
    <w:rsid w:val="70C0264D"/>
    <w:rsid w:val="7315437E"/>
    <w:rsid w:val="75F07846"/>
    <w:rsid w:val="7A517169"/>
    <w:rsid w:val="7DB4233F"/>
    <w:rsid w:val="7E666E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semiHidden/>
    <w:unhideWhenUsed/>
    <w:uiPriority w:val="99"/>
    <w:rPr>
      <w:color w:val="0000FF"/>
      <w:u w:val="single"/>
    </w:rPr>
  </w:style>
  <w:style w:type="character" w:customStyle="1" w:styleId="7">
    <w:name w:val="readmail_locationtip"/>
    <w:basedOn w:val="4"/>
    <w:uiPriority w:val="0"/>
  </w:style>
  <w:style w:type="character" w:customStyle="1" w:styleId="8">
    <w:name w:val="页眉 Char"/>
    <w:basedOn w:val="4"/>
    <w:link w:val="3"/>
    <w:semiHidden/>
    <w:uiPriority w:val="99"/>
    <w:rPr>
      <w:sz w:val="18"/>
      <w:szCs w:val="18"/>
    </w:rPr>
  </w:style>
  <w:style w:type="character" w:customStyle="1" w:styleId="9">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12</Pages>
  <Words>957</Words>
  <Characters>5455</Characters>
  <Lines>45</Lines>
  <Paragraphs>12</Paragraphs>
  <TotalTime>161</TotalTime>
  <ScaleCrop>false</ScaleCrop>
  <LinksUpToDate>false</LinksUpToDate>
  <CharactersWithSpaces>6400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2019-12-16T06:44:00Z</dcterms:created>
  <dc:creator>lenovo</dc:creator>
  <cp:lastModifiedBy>✨Duolm✨</cp:lastModifiedBy>
  <cp:lastPrinted>2019-12-18T03:00:00Z</cp:lastPrinted>
  <dcterms:modified xsi:type="dcterms:W3CDTF">2019-12-18T05:58:05Z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